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-50799</wp:posOffset>
                </wp:positionV>
                <wp:extent cx="5981700" cy="571500"/>
                <wp:effectExtent b="0" l="0" r="0" t="0"/>
                <wp:wrapNone/>
                <wp:docPr id="1" name=""/>
                <a:graphic>
                  <a:graphicData uri="http://schemas.microsoft.com/office/word/2010/wordprocessingGroup">
                    <wpg:wgp>
                      <wpg:cNvGrpSpPr/>
                      <wpg:grpSpPr>
                        <a:xfrm>
                          <a:off x="2352610" y="3489805"/>
                          <a:ext cx="5981700" cy="571500"/>
                          <a:chOff x="2352610" y="3489805"/>
                          <a:chExt cx="5986780" cy="580390"/>
                        </a:xfrm>
                      </wpg:grpSpPr>
                      <wpg:grpSp>
                        <wpg:cNvGrpSpPr/>
                        <wpg:grpSpPr>
                          <a:xfrm>
                            <a:off x="2352610" y="3489805"/>
                            <a:ext cx="5986780" cy="580390"/>
                            <a:chOff x="0" y="0"/>
                            <a:chExt cx="5986863" cy="580390"/>
                          </a:xfrm>
                        </wpg:grpSpPr>
                        <wps:wsp>
                          <wps:cNvSpPr/>
                          <wps:cNvPr id="3" name="Shape 3"/>
                          <wps:spPr>
                            <a:xfrm>
                              <a:off x="0" y="0"/>
                              <a:ext cx="5986850" cy="58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88112" y="79513"/>
                              <a:ext cx="389614" cy="437322"/>
                            </a:xfrm>
                            <a:prstGeom prst="rect">
                              <a:avLst/>
                            </a:prstGeom>
                            <a:noFill/>
                            <a:ln>
                              <a:noFill/>
                            </a:ln>
                          </wps:spPr>
                          <wps:bodyPr anchorCtr="0" anchor="ctr" bIns="91425" lIns="91425" spcFirstLastPara="1" rIns="91425" wrap="square" tIns="91425">
                            <a:noAutofit/>
                          </wps:bodyPr>
                        </wps:wsp>
                        <wps:wsp>
                          <wps:cNvSpPr/>
                          <wps:cNvPr id="5" name="Shape 5"/>
                          <wps:spPr>
                            <a:xfrm>
                              <a:off x="0" y="238539"/>
                              <a:ext cx="898498" cy="318052"/>
                            </a:xfrm>
                            <a:prstGeom prst="rect">
                              <a:avLst/>
                            </a:prstGeom>
                            <a:noFill/>
                            <a:ln>
                              <a:noFill/>
                            </a:ln>
                          </wps:spPr>
                          <wps:bodyPr anchorCtr="0" anchor="ctr" bIns="91425" lIns="91425" spcFirstLastPara="1" rIns="91425" wrap="square" tIns="91425">
                            <a:noAutofit/>
                          </wps:bodyPr>
                        </wps:wsp>
                        <wpg:grpSp>
                          <wpg:cNvGrpSpPr/>
                          <wpg:grpSpPr>
                            <a:xfrm>
                              <a:off x="2043486" y="119269"/>
                              <a:ext cx="1939925" cy="436880"/>
                              <a:chOff x="0" y="0"/>
                              <a:chExt cx="1940118" cy="437321"/>
                            </a:xfrm>
                          </wpg:grpSpPr>
                          <wps:wsp>
                            <wps:cNvSpPr/>
                            <wps:cNvPr id="7" name="Shape 7"/>
                            <wps:spPr>
                              <a:xfrm>
                                <a:off x="0" y="166977"/>
                                <a:ext cx="1940118" cy="270344"/>
                              </a:xfrm>
                              <a:prstGeom prst="rect">
                                <a:avLst/>
                              </a:prstGeom>
                              <a:noFill/>
                              <a:ln>
                                <a:noFill/>
                              </a:ln>
                            </wps:spPr>
                            <wps:bodyPr anchorCtr="0" anchor="ctr" bIns="91425" lIns="91425" spcFirstLastPara="1" rIns="91425" wrap="square" tIns="91425">
                              <a:noAutofit/>
                            </wps:bodyPr>
                          </wps:wsp>
                          <wps:wsp>
                            <wps:cNvSpPr/>
                            <wps:cNvPr id="8" name="Shape 8"/>
                            <wps:spPr>
                              <a:xfrm>
                                <a:off x="636105" y="0"/>
                                <a:ext cx="397565" cy="270344"/>
                              </a:xfrm>
                              <a:prstGeom prst="rect">
                                <a:avLst/>
                              </a:prstGeom>
                              <a:noFill/>
                              <a:ln>
                                <a:noFill/>
                              </a:ln>
                            </wps:spPr>
                            <wps:bodyPr anchorCtr="0" anchor="ctr" bIns="91425" lIns="91425" spcFirstLastPara="1" rIns="91425" wrap="square" tIns="91425">
                              <a:noAutofit/>
                            </wps:bodyPr>
                          </wps:wsp>
                        </wpg:grpSp>
                        <wpg:grpSp>
                          <wpg:cNvGrpSpPr/>
                          <wpg:grpSpPr>
                            <a:xfrm>
                              <a:off x="3888188" y="0"/>
                              <a:ext cx="2098675" cy="580390"/>
                              <a:chOff x="0" y="0"/>
                              <a:chExt cx="2098675" cy="580390"/>
                            </a:xfrm>
                          </wpg:grpSpPr>
                          <wps:wsp>
                            <wps:cNvSpPr/>
                            <wps:cNvPr id="10" name="Shape 10"/>
                            <wps:spPr>
                              <a:xfrm>
                                <a:off x="834887" y="0"/>
                                <a:ext cx="302149" cy="405517"/>
                              </a:xfrm>
                              <a:prstGeom prst="rect">
                                <a:avLst/>
                              </a:prstGeom>
                              <a:noFill/>
                              <a:ln>
                                <a:noFill/>
                              </a:ln>
                            </wps:spPr>
                            <wps:bodyPr anchorCtr="0" anchor="ctr" bIns="91425" lIns="91425" spcFirstLastPara="1" rIns="91425" wrap="square" tIns="91425">
                              <a:noAutofit/>
                            </wps:bodyPr>
                          </wps:wsp>
                          <wps:wsp>
                            <wps:cNvSpPr/>
                            <wps:cNvPr id="11" name="Shape 11"/>
                            <wps:spPr>
                              <a:xfrm>
                                <a:off x="0" y="365760"/>
                                <a:ext cx="2098675" cy="214630"/>
                              </a:xfrm>
                              <a:prstGeom prst="rect">
                                <a:avLst/>
                              </a:prstGeom>
                              <a:no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Arial" w:cs="Arial" w:eastAsia="Arial" w:hAnsi="Arial"/>
                                      <w:b w:val="1"/>
                                      <w:i w:val="0"/>
                                      <w:smallCaps w:val="0"/>
                                      <w:strike w:val="0"/>
                                      <w:color w:val="460c02"/>
                                      <w:sz w:val="16"/>
                                      <w:vertAlign w:val="baseline"/>
                                    </w:rPr>
                                    <w:t xml:space="preserve">UNIVERSIDAD NACIONAL DE ITAPUA</w:t>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-50799</wp:posOffset>
                </wp:positionV>
                <wp:extent cx="5981700" cy="5715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81700" cy="571500"/>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2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 SEMINARIO INTERNACIONAL DE LOS ESPACIOS DE FRONTERA (III GEOFRONTERA)</w:t>
      </w:r>
    </w:p>
    <w:p w:rsidR="00000000" w:rsidDel="00000000" w:rsidP="00000000" w:rsidRDefault="00000000" w:rsidRPr="00000000" w14:paraId="00000005">
      <w:pPr>
        <w:pStyle w:val="Heading1"/>
        <w:shd w:fill="fbd4b4" w:val="clear"/>
        <w:spacing w:after="120" w:before="120" w:lineRule="auto"/>
        <w:jc w:val="center"/>
        <w:rPr>
          <w:rFonts w:ascii="Cantata One" w:cs="Cantata One" w:eastAsia="Cantata One" w:hAnsi="Cantata One"/>
          <w:i w:val="1"/>
        </w:rPr>
      </w:pPr>
      <w:r w:rsidDel="00000000" w:rsidR="00000000" w:rsidRPr="00000000">
        <w:rPr>
          <w:rFonts w:ascii="Cantata One" w:cs="Cantata One" w:eastAsia="Cantata One" w:hAnsi="Cantata One"/>
          <w:i w:val="1"/>
          <w:rtl w:val="0"/>
        </w:rPr>
        <w:t xml:space="preserve">Integración: Cooperación y Conflictos  </w:t>
      </w:r>
    </w:p>
    <w:p w:rsidR="00000000" w:rsidDel="00000000" w:rsidP="00000000" w:rsidRDefault="00000000" w:rsidRPr="00000000" w14:paraId="00000006">
      <w:pPr>
        <w:pStyle w:val="Heading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SEMINÁRIO INTERNACIONAL DOS ESPAÇOS DE FRONTEIRA (III GEOFRONTEIRA)</w:t>
      </w:r>
    </w:p>
    <w:p w:rsidR="00000000" w:rsidDel="00000000" w:rsidP="00000000" w:rsidRDefault="00000000" w:rsidRPr="00000000" w14:paraId="00000007">
      <w:pPr>
        <w:pStyle w:val="Heading1"/>
        <w:shd w:fill="fbd4b4" w:val="clear"/>
        <w:spacing w:after="120" w:before="120" w:lineRule="auto"/>
        <w:jc w:val="center"/>
        <w:rPr>
          <w:rFonts w:ascii="Cantata One" w:cs="Cantata One" w:eastAsia="Cantata One" w:hAnsi="Cantata One"/>
          <w:i w:val="1"/>
        </w:rPr>
      </w:pPr>
      <w:r w:rsidDel="00000000" w:rsidR="00000000" w:rsidRPr="00000000">
        <w:rPr>
          <w:rFonts w:ascii="Cantata One" w:cs="Cantata One" w:eastAsia="Cantata One" w:hAnsi="Cantata One"/>
          <w:i w:val="1"/>
          <w:rtl w:val="0"/>
        </w:rPr>
        <w:t xml:space="preserve">Integração: Cooperação e Conflito</w:t>
      </w:r>
    </w:p>
    <w:p w:rsidR="00000000" w:rsidDel="00000000" w:rsidP="00000000" w:rsidRDefault="00000000" w:rsidRPr="00000000" w14:paraId="00000008">
      <w:pPr>
        <w:spacing w:after="0" w:before="240" w:lineRule="auto"/>
        <w:jc w:val="center"/>
        <w:rPr>
          <w:rFonts w:ascii="Arial" w:cs="Arial" w:eastAsia="Arial" w:hAnsi="Arial"/>
        </w:rPr>
      </w:pPr>
      <w:r w:rsidDel="00000000" w:rsidR="00000000" w:rsidRPr="00000000">
        <w:rPr>
          <w:rFonts w:ascii="Arial" w:cs="Arial" w:eastAsia="Arial" w:hAnsi="Arial"/>
          <w:rtl w:val="0"/>
        </w:rPr>
        <w:t xml:space="preserve">EJE 1: FRONTERA Y EDUCACIÓN</w:t>
      </w:r>
    </w:p>
    <w:p w:rsidR="00000000" w:rsidDel="00000000" w:rsidP="00000000" w:rsidRDefault="00000000" w:rsidRPr="00000000" w14:paraId="00000009">
      <w:pPr>
        <w:spacing w:line="360" w:lineRule="auto"/>
        <w:jc w:val="both"/>
        <w:rPr>
          <w:rFonts w:ascii="Arial" w:cs="Arial" w:eastAsia="Arial" w:hAnsi="Arial"/>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A">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mallCaps w:val="1"/>
          <w:sz w:val="22"/>
          <w:szCs w:val="22"/>
          <w:rtl w:val="0"/>
        </w:rPr>
        <w:t xml:space="preserve">A FRONTEIRA NA ESCOLA : O USO DA CULTURA E DO CONTEXTO</w:t>
      </w:r>
      <w:r w:rsidDel="00000000" w:rsidR="00000000" w:rsidRPr="00000000">
        <w:rPr>
          <w:rFonts w:ascii="Arial" w:cs="Arial" w:eastAsia="Arial" w:hAnsi="Arial"/>
          <w:b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0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spacing w:after="240" w:lineRule="auto"/>
        <w:ind w:firstLine="720"/>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Regina Coeli Machado e Silva</w:t>
      </w:r>
    </w:p>
    <w:p w:rsidR="00000000" w:rsidDel="00000000" w:rsidP="00000000" w:rsidRDefault="00000000" w:rsidRPr="00000000" w14:paraId="0000000E">
      <w:pPr>
        <w:spacing w:after="240" w:lineRule="auto"/>
        <w:ind w:firstLine="720"/>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Unioeste/Universidade Estadual do Oeste do Paraná </w:t>
      </w:r>
    </w:p>
    <w:p w:rsidR="00000000" w:rsidDel="00000000" w:rsidP="00000000" w:rsidRDefault="00000000" w:rsidRPr="00000000" w14:paraId="0000000F">
      <w:pPr>
        <w:spacing w:after="240" w:lineRule="auto"/>
        <w:ind w:firstLine="720"/>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coeli.machado@yahoo.com.br</w:t>
      </w:r>
    </w:p>
    <w:p w:rsidR="00000000" w:rsidDel="00000000" w:rsidP="00000000" w:rsidRDefault="00000000" w:rsidRPr="00000000" w14:paraId="00000010">
      <w:pPr>
        <w:spacing w:after="240" w:line="360" w:lineRule="auto"/>
        <w:ind w:firstLine="72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after="240" w:line="360" w:lineRule="auto"/>
        <w:ind w:firstLine="72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widowControl w:val="0"/>
        <w:spacing w:after="320" w:lineRule="auto"/>
        <w:jc w:val="both"/>
        <w:rPr>
          <w:rFonts w:ascii="Arial" w:cs="Arial" w:eastAsia="Arial" w:hAnsi="Arial"/>
          <w:sz w:val="20"/>
          <w:szCs w:val="20"/>
        </w:rPr>
      </w:pPr>
      <w:r w:rsidDel="00000000" w:rsidR="00000000" w:rsidRPr="00000000">
        <w:rPr>
          <w:rFonts w:ascii="Arial" w:cs="Arial" w:eastAsia="Arial" w:hAnsi="Arial"/>
          <w:sz w:val="22"/>
          <w:szCs w:val="22"/>
          <w:rtl w:val="0"/>
        </w:rPr>
        <w:t xml:space="preserve">RESUMO: </w:t>
      </w:r>
      <w:r w:rsidDel="00000000" w:rsidR="00000000" w:rsidRPr="00000000">
        <w:rPr>
          <w:rFonts w:ascii="Arial" w:cs="Arial" w:eastAsia="Arial" w:hAnsi="Arial"/>
          <w:sz w:val="20"/>
          <w:szCs w:val="20"/>
          <w:rtl w:val="0"/>
        </w:rPr>
        <w:t xml:space="preserve">Apresentar as implicações da pressuposição das diferenças culturais e das desigualdades sociais que fundamentam a formulação das políticas de avaliação escolar, elaboradas pelos programas federais e estaduais da educação no Brasil, e os efeitos dessas políticas na percepção imediata dos professores a respeito da experiência cotidiana em uma escola de fronteira é o objetivo desta apresentação. Tais reflexões são oriundas dos primeiros contatos com professores em uma escola pública, de ensino fundamental e médio,  da periferia de Foz do Iguaçu, cidade na fronteira com o Paraguai e a Argentina. O argumento desenvolvido sinaliza que os baixos índices de avaliação escolar, na percepção imediata dos professores, são frutos do contexto e da cultura fronteiriços, reintroduzindo, assim, as pressuposições dessas políticas.</w:t>
      </w:r>
    </w:p>
    <w:p w:rsidR="00000000" w:rsidDel="00000000" w:rsidP="00000000" w:rsidRDefault="00000000" w:rsidRPr="00000000" w14:paraId="00000013">
      <w:pPr>
        <w:widowControl w:val="0"/>
        <w:spacing w:after="320" w:lineRule="auto"/>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Autora: Doutora em Antropologia Social (UFRJ/Museu Nacional) e professora associada na graduação e na pós-graduação na Unioeste. </w:t>
      </w: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Palavras-chave: avaliação escolar; Observatório da Educação; antropologia cognitiva da aprendizagem.</w:t>
      </w:r>
    </w:p>
    <w:p w:rsidR="00000000" w:rsidDel="00000000" w:rsidP="00000000" w:rsidRDefault="00000000" w:rsidRPr="00000000" w14:paraId="00000015">
      <w:pPr>
        <w:widowControl w:val="0"/>
        <w:spacing w:after="320" w:line="360"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Introdução</w:t>
      </w:r>
      <w:r w:rsidDel="00000000" w:rsidR="00000000" w:rsidRPr="00000000">
        <w:rPr>
          <w:rtl w:val="0"/>
        </w:rPr>
      </w:r>
    </w:p>
    <w:p w:rsidR="00000000" w:rsidDel="00000000" w:rsidP="00000000" w:rsidRDefault="00000000" w:rsidRPr="00000000" w14:paraId="00000016">
      <w:pPr>
        <w:spacing w:after="240" w:line="360" w:lineRule="auto"/>
        <w:ind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after="240"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Apresentar reflexões sobre as implicações da pressuposição das diferenças culturais e das desigualdades sociais que fundamentam a formulação das políticas de avaliação escolar, elaboradas pelos programas federais e estaduais da educação no Brasil, e efeitos dessas políticas na percepção dos professores a respeito da experiência cotidiana em uma escola pública de fronteira em Foz do Iguaçu, é o objetivo desta apresentação. Ela está organizada em três partes. Na primeira apresento o programa Observatório da Educação, iniciativa de instrumentalização de gestão das políticas educacionais nacionais e de incentivo à formação da pós-graduação na universidade, modo pelo qual chegamos ao Colégio Estadual Ipê Roxo, orientados pelo fato dessa escola apresentar baixos índices de avaliação escolar. Na segunda, descrevo como o espaço social e simbólico ocupados pelo Colégio e pelo bairro interferem no aproveitamento escolar, segundo a percepção imediata dos professores. O bairro é resultante do processo de desfavelamento de uma região da cidade de Foz do Iguaçu envolvendo reivindicações dos moradores. Na última parte tento mostrar como as categorias “cultura” e “contexto” podem transformar-se, aí, em ideologia da exclusão social, reproduzindo, assim, o fracasso escolar. Cabe observar que essas reflexões foram desenvolvidas no primeiro ano de participação no Observatório da Educação, em 2012, momento inicial de entrada nesse contexto que posteriormente deu lugar a uma experiência etnográfica que possibilitou romper com essas percepções imediatas, objeto de atenção aqui.  Assim, o que vou apresentar são as idéias manifestas por esses professores durante  as reuniões de estudo da equipe do Programa, por meio de entrevistas, de levantamentos estatísticos e de fontes documentais da escola, sem participação dos alunos dentro ou fora da sala de aula. </w:t>
      </w:r>
    </w:p>
    <w:p w:rsidR="00000000" w:rsidDel="00000000" w:rsidP="00000000" w:rsidRDefault="00000000" w:rsidRPr="00000000" w14:paraId="00000018">
      <w:pPr>
        <w:spacing w:after="240"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Antes, porém, é necessário fazer três ressalvas importantes. A primeira é que nos deter nas percepções imediatas e manifestas dos professores, do primeiro e segundo grau do Colégio, vai contra as precauções metodológicas habituais recomendadas para a construção do conhecimento, que consistem, justamente, em desconfiar das primeiras impressões trazidas pelas percepções do senso comum</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Fonts w:ascii="Arial" w:cs="Arial" w:eastAsia="Arial" w:hAnsi="Arial"/>
          <w:sz w:val="22"/>
          <w:szCs w:val="22"/>
          <w:rtl w:val="0"/>
        </w:rPr>
        <w:t xml:space="preserve">, sejam nossas, sejam dos nossos interlocutores. Ao contrário dessas advertências, adoto aqui uma posição epistemológica que considera diferentes modos de conhecer, sem deixar de considerar suas particularidades</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Fonts w:ascii="Arial" w:cs="Arial" w:eastAsia="Arial" w:hAnsi="Arial"/>
          <w:sz w:val="22"/>
          <w:szCs w:val="22"/>
          <w:rtl w:val="0"/>
        </w:rPr>
        <w:t xml:space="preserve">. Ou seja, considero essas percepções imediatas construídas pelos professores como um modo de conhecimento situado e interessado que, em sua própria obviedade, dialoga e interage com outros modos de conhecimento, como o conhecimento especializado a respeito da educação e da aprendizagem, por exemplo, presente na comunidade universitária e nas políticas públicas voltadas para esse tema. Lembro aqui o trocadilho insubordinado de Darcy Ribeiro (2015) de que a tarefa dos pesquisadores é “revelar a obviedade do óbvio” (p.13). Isso implica tentar tornar visível os próprios pressupostos sociológicos e antropológicos desses modos de conhecer e de formas de estruturar o conhecimento, considerando-os inseparáveis das práticas cotidianas e indissociáveis da aprendizagem, como se verá. Com isso chego à segunda ressalva, decorrente da primeira. Considerar as obviedades do óbvio significa tornar visível o funcionamento contrastante desses modos de conhecimentos assimétricos e contraditórios, produzidos por grupos em diferentes posições sociais em torno das categorias sociais e sociológicas “cultura” e “contexto”, tomadas como fundamentos explicativos para os desafios da educação no País e na fronteira. A terceira ressalva é que indicarei a proposição recente de antropologia cognitiva somente para mostrar suas ressonâncias com a proposta desta apresentação, que nos ajudaria a expor as tensões, imprecisões e assimetrias no diálogo entre esses diferentes modos de conhecimento particulares. Esse caminho etnográfico, contudo, não será aqui apresentado.  </w:t>
      </w:r>
    </w:p>
    <w:p w:rsidR="00000000" w:rsidDel="00000000" w:rsidP="00000000" w:rsidRDefault="00000000" w:rsidRPr="00000000" w14:paraId="00000019">
      <w:pPr>
        <w:spacing w:after="240"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Resta mencionar que iniciei meus contatos no Colégio por meio de diferentes agentes do poder público federal e estadual e comandado pelo Observatório da Educação</w:t>
      </w:r>
      <w:r w:rsidDel="00000000" w:rsidR="00000000" w:rsidRPr="00000000">
        <w:rPr>
          <w:rFonts w:ascii="Arial" w:cs="Arial" w:eastAsia="Arial" w:hAnsi="Arial"/>
          <w:sz w:val="22"/>
          <w:szCs w:val="22"/>
          <w:vertAlign w:val="superscript"/>
        </w:rPr>
        <w:footnoteReference w:customMarkFollows="0" w:id="3"/>
      </w:r>
      <w:r w:rsidDel="00000000" w:rsidR="00000000" w:rsidRPr="00000000">
        <w:rPr>
          <w:rFonts w:ascii="Arial" w:cs="Arial" w:eastAsia="Arial" w:hAnsi="Arial"/>
          <w:sz w:val="22"/>
          <w:szCs w:val="22"/>
          <w:rtl w:val="0"/>
        </w:rPr>
        <w:t xml:space="preserve">. Trata-se de um programa de abrangência nacional, implementado em “parceria” com a Coordenação de Aperfeiçoamento de Pessoal de Nível Superior (Capes) e o Instituto Nacional de Estudos e Pesquisas Educacionais Anísio Teixeira (INEP), órgãos vinculados ao Ministério da Educação do Brasil (MEC). Esse programa parte da pressuposição do ideal de transferência de um conhecimento universalizável e de habilidades cognitivas para aprendizagem, descontextualizados - a serem testados por meio de exames internacionais e nacionais - ordenado pelo eixo da busca de resultados. No mesmo movimento, como quero mostrar, instaura essa escola como expressão de um conjunto de atributos negativos, recobrindo desde a sua identificação como uma escola pública marcada pelo fracasso escolar até sua localização geográfica em um bairro popular e periférico em Foz do Iguaçu, na fronteira com o Paraguai e Argentina. </w:t>
      </w:r>
    </w:p>
    <w:p w:rsidR="00000000" w:rsidDel="00000000" w:rsidP="00000000" w:rsidRDefault="00000000" w:rsidRPr="00000000" w14:paraId="0000001A">
      <w:pPr>
        <w:spacing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termos da confrontação aí envolvidos não parecem estar no mesmo nível porque contrapõem, em um plano, as concepções dos agentes governamentais e, em outro, as concepções dos professores sobre a aprendizagem no contexto escolar cotidiano. Porém, é aí que se encontra o ponto para onde convergem esses diferentes modos de pensar a educação e a aprendizagem, expondo o dilema entre as proposições governamentais e o contexto escolar. No centro desse dilema estão os processos de aprendizagem, traduzidos como problemas que uma antropologia cognitiva pode ajudar a esclarecer, em sua pressuposição da relação do pensamento/mente/conhecimento com o contexto/situação. </w:t>
        <w:tab/>
        <w:t xml:space="preserve">Para o propósito desta apresentação, apenas  menciono a antropologia cognitiva que privilegia o </w:t>
      </w:r>
      <w:r w:rsidDel="00000000" w:rsidR="00000000" w:rsidRPr="00000000">
        <w:rPr>
          <w:rFonts w:ascii="Arial" w:cs="Arial" w:eastAsia="Arial" w:hAnsi="Arial"/>
          <w:i w:val="1"/>
          <w:sz w:val="22"/>
          <w:szCs w:val="22"/>
          <w:rtl w:val="0"/>
        </w:rPr>
        <w:t xml:space="preserve">status</w:t>
      </w:r>
      <w:r w:rsidDel="00000000" w:rsidR="00000000" w:rsidRPr="00000000">
        <w:rPr>
          <w:rFonts w:ascii="Arial" w:cs="Arial" w:eastAsia="Arial" w:hAnsi="Arial"/>
          <w:sz w:val="22"/>
          <w:szCs w:val="22"/>
          <w:rtl w:val="0"/>
        </w:rPr>
        <w:t xml:space="preserve"> ontológico social do pensamento e da mente para a cognição, relacionando-a a outros temas congêneres como a educação, a socialização e a aprendizagem. Para pensar a relação instituinte do fundamento social com a cognição sob esse prisma, teríamos, por um lado, a pressuposicão que desconsidera esse fundamento, concebendo a aprendizagem como descontextualizada, livre da experiência e portanto tendo consequências cognitivas benéficas por sua capacidade de generalização/universalização; por outro, o princípio de que os modos de pensar e as formas de conhecimento são fenômenos históricos, social e culturalmente situados, tanto em seu aspecto político (BOURDIEU, 1992, LAIHRE, 2003 e FOUCAULT, 1988, 1999), quanto na prática social cotidiana (LAVE, 1988, 1996, 2011, 2011a). No Colégio, esses termos da pressuposição estão, primeiro, na abordagem macrossociológica estabelecida por critérios universalizantes, adotada pelos orgãos governamentais e nos estudos institucionais da realidade educacional brasileira. Depois, desdobram-se nas variadas concepções dos professores diante das avaliações desses órgãos, envolvendo a busca de resolução de problemas cognitivos no processo de aprendizagem. Ressalto que o objetivo é mostrar as implicações da pressuposição das diferenças culturais e das desigualdades sociais que fundamentam a formulação das políticas de avaliação escolar, elaboradas pelos programas federais e estaduais da educação no Brasil, e os efeitos dessas políticas na percepção imediata dos professores a respeito do fracasso escolar, influenciando-se mutuamente. Assim, mesmo preocupados com a contextualização, acabam por reiterar a confrontação acima aludida em suas percepções imediatas, assumindo a posição universalizante sobre a aprendizagem, própria das políticas públicas. </w:t>
      </w:r>
    </w:p>
    <w:p w:rsidR="00000000" w:rsidDel="00000000" w:rsidP="00000000" w:rsidRDefault="00000000" w:rsidRPr="00000000" w14:paraId="0000001B">
      <w:pPr>
        <w:spacing w:line="360"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C">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 programa Observatório da Educação</w:t>
      </w:r>
    </w:p>
    <w:p w:rsidR="00000000" w:rsidDel="00000000" w:rsidP="00000000" w:rsidRDefault="00000000" w:rsidRPr="00000000" w14:paraId="0000001D">
      <w:pPr>
        <w:spacing w:line="360"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pressuposição universalizante orienta o Observatório da Educação e é inseparável das políticas públicas que vinculam, sob diversos modos, a educação ao Estado-Nação (Anderson,2008; Hobsbawn, 1984 Gellner, 1996). Como forma de objetivar esse vínculo, os formuladores dessa política usam dados estatísticos para apresentar a desigualdade escolar no interior do país e diante de outros países, em cada estado e em cada cidade, por meio de notas e avaliações e dos índices de repetência, tornando comparáveis sistemas escolares em contextos locais desiguais em tudo. Tais índices do fracasso escolar são assim tomados como objetos inquestionáveis, e neles estão embutidas a crença na ideologia democrática - que trata igualmente todos os alunos, independentemente de suas origens social, cultural, geográfica e da orientação sexual - e a crença na meritocracia - em que o sucesso escolar depende do esforço e do estudo de cada aluno. Entre as recomendações a serem seguidas para implantação do Observatório da Educação estava a utilização dos dados estatísticos comparando o Brasil a outros países</w:t>
      </w:r>
      <w:r w:rsidDel="00000000" w:rsidR="00000000" w:rsidRPr="00000000">
        <w:rPr>
          <w:rFonts w:ascii="Arial" w:cs="Arial" w:eastAsia="Arial" w:hAnsi="Arial"/>
          <w:sz w:val="22"/>
          <w:szCs w:val="22"/>
          <w:vertAlign w:val="superscript"/>
        </w:rPr>
        <w:footnoteReference w:customMarkFollows="0" w:id="4"/>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F">
      <w:pPr>
        <w:widowControl w:val="0"/>
        <w:spacing w:after="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A finalidade do Observatório da Educação é clara, tanto como forma de instrumentalizar a gestão de políticas educacionais para melhorar os baixos índices do PISA (Programa Internacional de Avaliação de Aluno), quanto projeto de fomento ao desenvolvimento de estudos e pesquisas em educação, de produção acadêmica, de formação de recursos pós-graduados em educação, para mestrado e doutorado</w:t>
      </w:r>
      <w:r w:rsidDel="00000000" w:rsidR="00000000" w:rsidRPr="00000000">
        <w:rPr>
          <w:rFonts w:ascii="Arial" w:cs="Arial" w:eastAsia="Arial" w:hAnsi="Arial"/>
          <w:sz w:val="22"/>
          <w:szCs w:val="22"/>
          <w:vertAlign w:val="superscript"/>
        </w:rPr>
        <w:footnoteReference w:customMarkFollows="0" w:id="5"/>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0">
      <w:pPr>
        <w:widowControl w:val="0"/>
        <w:spacing w:after="0"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Reiterando o dilema evocado acima, enquanto as diretrizes do Observatório da Educação tomam a educação como uma realidade inconteste, passível de ser “fortalecida”, “ampliada” e “desenvolvida”, sendo instrumentalizada por meio de produções acadêmicas, de formação de recursos humanos (docentes, gestores, avaliadores) e da criação e manutenção de programas interdisciplinares, visando a um sistema de ensino eficiente para seus padrões de avaliação, no colégio essa evidência não questionada está sob constante suspeita. Ela aparece nas perguntas: a educação deve ser preparação para o trabalho, meio para obter uma profissão, deve ser para a vida ou para a resolução de problemas que prepare os alunos para estar no mundo? Essas perguntas originam outra: como ensinar? </w:t>
      </w:r>
    </w:p>
    <w:p w:rsidR="00000000" w:rsidDel="00000000" w:rsidP="00000000" w:rsidRDefault="00000000" w:rsidRPr="00000000" w14:paraId="00000021">
      <w:pPr>
        <w:spacing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É importante mencionar que a ênfase na avaliação da educação faz parte do Plano Nacional de Educação para o decênio 2011-2020, como política educacional, e induz as administrações estaduais e municipais a atentarem para os parâmetros de avaliação para, ao final, chegar à descentralização do atendimento da educação enquanto o governo federal direciona sua atuação na regularização financeira, estabelecendo parcerias entre o setor público e o setor privado, como tem sido feito nos últimos anos (Souza, 2001, 2013)</w:t>
      </w:r>
      <w:r w:rsidDel="00000000" w:rsidR="00000000" w:rsidRPr="00000000">
        <w:rPr>
          <w:rFonts w:ascii="Arial" w:cs="Arial" w:eastAsia="Arial" w:hAnsi="Arial"/>
          <w:sz w:val="22"/>
          <w:szCs w:val="22"/>
          <w:vertAlign w:val="superscript"/>
        </w:rPr>
        <w:footnoteReference w:customMarkFollows="0" w:id="6"/>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2">
      <w:pPr>
        <w:spacing w:line="360" w:lineRule="auto"/>
        <w:ind w:firstLine="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spacing w:line="360" w:lineRule="auto"/>
        <w:ind w:firstLine="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percepção dos professores no contexto do Colégio Estadual Ipê Roxo </w:t>
      </w:r>
    </w:p>
    <w:p w:rsidR="00000000" w:rsidDel="00000000" w:rsidP="00000000" w:rsidRDefault="00000000" w:rsidRPr="00000000" w14:paraId="00000024">
      <w:pPr>
        <w:spacing w:after="2" w:before="2" w:line="360" w:lineRule="auto"/>
        <w:ind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after="2" w:before="2"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Colégio Estadual Ipê Roxo resulta, em grande parte, desse atravessamento de muitos programas e políticas, visíveis nas relações institucionais que o sustentam</w:t>
      </w:r>
      <w:r w:rsidDel="00000000" w:rsidR="00000000" w:rsidRPr="00000000">
        <w:rPr>
          <w:rFonts w:ascii="Arial" w:cs="Arial" w:eastAsia="Arial" w:hAnsi="Arial"/>
          <w:sz w:val="22"/>
          <w:szCs w:val="22"/>
          <w:vertAlign w:val="superscript"/>
        </w:rPr>
        <w:footnoteReference w:customMarkFollows="0" w:id="7"/>
      </w:r>
      <w:r w:rsidDel="00000000" w:rsidR="00000000" w:rsidRPr="00000000">
        <w:rPr>
          <w:rFonts w:ascii="Arial" w:cs="Arial" w:eastAsia="Arial" w:hAnsi="Arial"/>
          <w:sz w:val="22"/>
          <w:szCs w:val="22"/>
          <w:rtl w:val="0"/>
        </w:rPr>
        <w:t xml:space="preserve">, dentre eles o Observatório da Educação. Ele é vivido na experiência cotidiana, feita de uma estimulante combinação entrelaçada pelas dúvidas e pelas perplexidades dos professores sobre como ensinar e sobre o que os alunos devem aprender. À diversificação das atividades decorrentes da administração interna e de todas as outras atividades que vinculam as relações entre professores e pedagogos, alunos e seus pais, com interesses nem sempre coincidentes, se soma o cotidiano vivido nas práticas ritualizadas ordenando o ritmo diário das aulas, dos intervalos, e a presença ruidosa e ativa das crianças e jovens. </w:t>
      </w:r>
    </w:p>
    <w:p w:rsidR="00000000" w:rsidDel="00000000" w:rsidP="00000000" w:rsidRDefault="00000000" w:rsidRPr="00000000" w14:paraId="00000026">
      <w:pPr>
        <w:spacing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Colégio é co-participante da história e do contexto do bairro onde está situado, um ambiente dinâmico, cujas percepções imediatas, elaboradas por parte dos moradores de Foz do Iguaçu, são parte da construção ativa e persistente de um processo de exclusão social, cristalizadas em identificações negativas do bairro visto como perigoso e devendo ser evitado. O bairro foi designado pelos primeiros moradores como Cidade Nova, significando os sonhos e a esperança de “uma vida nova e melhor”, visto que foi criado por meio de um projeto de desfavelamento da cidade. O bairro cresceu e, igualmente longe do centro, não tinha transporte público adequado para viabilizar o deslocamento dos jovens e crianças para a escola. Foi então criado pelo governo estadual o Colégio, de ensino fundamental (5.° ao 9.° ano) e médio, em 2002, cujo nome, Ipê Roxo, ao contrário dos outros da cidade que tem nomes de personalidades públicas ou artísticas, foi uma homenagem à arvore símbolo de Foz do Iguaçu</w:t>
      </w:r>
      <w:r w:rsidDel="00000000" w:rsidR="00000000" w:rsidRPr="00000000">
        <w:rPr>
          <w:rFonts w:ascii="Arial" w:cs="Arial" w:eastAsia="Arial" w:hAnsi="Arial"/>
          <w:sz w:val="22"/>
          <w:szCs w:val="22"/>
          <w:vertAlign w:val="superscript"/>
        </w:rPr>
        <w:footnoteReference w:customMarkFollows="0" w:id="8"/>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spacing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Buscar manter a distancia o bairro e seus moradores, como querem os moradores de Foz do Iguaçu, contudo, é resultado de um desdobramento mais amplo. Trata-se de uma experiência coletiva, singular, vivida na cidade por estar localizada em uma situação de fronteira entre três países, cuja particularidade é a proximidade com a zona de livre comércio com o Paraguai. Assim, apesar de o bairro dispor de uma boa infra-estrutura urbana, com avenidas largas, ruas com calçamento, iluminação e todos os serviços básicos de atendimento à comunidade, ele é visto como perigoso, por ser associado a um lugar de atividades “ilícitas”, outro processo de lutas simbólicas intermitentes, como vem sendo evidenciado por muitos pesquisadores da Tríplice Fronteira onde se localiza Foz do Iguaçu (Cardin, 2011). Uma das razões para isso é a predominância de um imenso mercado de trabalho ilegal, criado pela zona de comércio em </w:t>
      </w:r>
      <w:r w:rsidDel="00000000" w:rsidR="00000000" w:rsidRPr="00000000">
        <w:rPr>
          <w:rFonts w:ascii="Arial" w:cs="Arial" w:eastAsia="Arial" w:hAnsi="Arial"/>
          <w:i w:val="1"/>
          <w:sz w:val="22"/>
          <w:szCs w:val="22"/>
          <w:rtl w:val="0"/>
        </w:rPr>
        <w:t xml:space="preserve">Ciudad Del Este</w:t>
      </w:r>
      <w:r w:rsidDel="00000000" w:rsidR="00000000" w:rsidRPr="00000000">
        <w:rPr>
          <w:rFonts w:ascii="Arial" w:cs="Arial" w:eastAsia="Arial" w:hAnsi="Arial"/>
          <w:sz w:val="22"/>
          <w:szCs w:val="22"/>
          <w:rtl w:val="0"/>
        </w:rPr>
        <w:t xml:space="preserve"> onde parte dos moradores do bairro encontra fonte de subsistência, como laranjas</w:t>
      </w:r>
      <w:r w:rsidDel="00000000" w:rsidR="00000000" w:rsidRPr="00000000">
        <w:rPr>
          <w:rFonts w:ascii="Arial" w:cs="Arial" w:eastAsia="Arial" w:hAnsi="Arial"/>
          <w:sz w:val="22"/>
          <w:szCs w:val="22"/>
          <w:vertAlign w:val="superscript"/>
        </w:rPr>
        <w:footnoteReference w:customMarkFollows="0" w:id="9"/>
      </w:r>
      <w:r w:rsidDel="00000000" w:rsidR="00000000" w:rsidRPr="00000000">
        <w:rPr>
          <w:rFonts w:ascii="Arial" w:cs="Arial" w:eastAsia="Arial" w:hAnsi="Arial"/>
          <w:sz w:val="22"/>
          <w:szCs w:val="22"/>
          <w:rtl w:val="0"/>
        </w:rPr>
        <w:t xml:space="preserve">. As mulheres frequentemente trabalham como faxineiras, domésticas, comerciárias. Há também ocupações temporárias no setor de serviços turísticos. Pode-se dizer que há falta de emprego, mas não falta de atividade remunerada, mesmo que incerta e precária.  Recentemente, por causa da proximidade com o Paraguai, o bairro tem recebido famílias de brasiguaios</w:t>
      </w:r>
      <w:r w:rsidDel="00000000" w:rsidR="00000000" w:rsidRPr="00000000">
        <w:rPr>
          <w:rFonts w:ascii="Arial" w:cs="Arial" w:eastAsia="Arial" w:hAnsi="Arial"/>
          <w:sz w:val="22"/>
          <w:szCs w:val="22"/>
          <w:vertAlign w:val="superscript"/>
        </w:rPr>
        <w:footnoteReference w:customMarkFollows="0" w:id="10"/>
      </w:r>
      <w:r w:rsidDel="00000000" w:rsidR="00000000" w:rsidRPr="00000000">
        <w:rPr>
          <w:rFonts w:ascii="Arial" w:cs="Arial" w:eastAsia="Arial" w:hAnsi="Arial"/>
          <w:sz w:val="22"/>
          <w:szCs w:val="22"/>
          <w:rtl w:val="0"/>
        </w:rPr>
        <w:t xml:space="preserve"> expulsos pelos conflitos em áreas rurais no Paraguai. </w:t>
      </w:r>
    </w:p>
    <w:p w:rsidR="00000000" w:rsidDel="00000000" w:rsidP="00000000" w:rsidRDefault="00000000" w:rsidRPr="00000000" w14:paraId="0000002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Do ponto de vista dos professores, expresso nas entrevistas e no Projeto Político Pedagógico, por causa da localização, não apenas social, mas simbólica do bairro, o colégio possui alta rotatividade de professores e pedagogos. Esse mesmo documento reitera as consequências desse “isolamento” simbólico do bairro, feito da história do desfavelamento, sendo assim significado como um lugar perigoso, de atividades “ilícitas” e até mesmo de descontrole, imagens comumente associadas a Foz do Iguaçu, como cidade de fronteira geopolítica. Segundo esse documento, apoiado em dados de uma “pesquisa feita no colégio, constatou-se que, no âmbito da família, a maioria dos alunos fica sozinha em casa, sem um responsável para acompanhar e cobrar tarefas escolares. Na maioria das vezes, por estarem sozinhos, boa parte dos alunos acabam se envolvendo com “más companhias” e até mesmo se envolvendo em atividades “ilícitas”. E assim, seu desenvolvimento e a sua formação acabam sendo prejudicados” (PPP, 2002). Parte dessa constatação encontra profundas ressonâncias em uma percepção comum reiterada pelos professores, em diferentes momentos, de que as famílias não só deixam seus filhos sozinhos, como também são desestruturadas, razão pela qual não constituem referências de educação e disciplina.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left" w:pos="1134"/>
        </w:tabs>
        <w:spacing w:after="0" w:before="0" w:line="36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mesmo Projeto Político Pedagógico prossegue: “considerando o perfil da nossa comunidade carente e vulnerável, diante da realidade que a cerca, nossa escola enfrenta os seguintes problemas: no aspecto humano enfrentamos situações de risco com alunos que são ameaçados do portão para fora da escola e buscam proteção no interior da mesma, para onde também convergem as problemáticas familiares e transferem a responsabilidade de educar para a instituição. Consequentemente temos alunos instáveis emocionalmente que geram indisciplina em sala de aula” (PPP, 2002).</w:t>
      </w:r>
    </w:p>
    <w:p w:rsidR="00000000" w:rsidDel="00000000" w:rsidP="00000000" w:rsidRDefault="00000000" w:rsidRPr="00000000" w14:paraId="0000002A">
      <w:pPr>
        <w:spacing w:line="360"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Além dos “problemas sociais” (expressão do Projeto Político Pedagógico) que a comunidade apresenta, a falta de acompanhamento da vida escolar por parte das famílias influencia no elevado índice de reprovação e evasão escolar. Assim, vários alunos frequentam a escola refazendo a mesma série por até três anos consecutivos, com graves problemas de adaptação, por ficarem fora de faixa etária, influenciando diretamente no comportamento dos demais alunos, gerando indisciplina na sala de aula.</w:t>
      </w:r>
    </w:p>
    <w:p w:rsidR="00000000" w:rsidDel="00000000" w:rsidP="00000000" w:rsidRDefault="00000000" w:rsidRPr="00000000" w14:paraId="0000002B">
      <w:pPr>
        <w:spacing w:line="360"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Diante desses “problemas sociais”, categoria que sintetiza, no contexto etnográfico, as diversas causas para a evasão, a reprovação escolar e o baixo índice de avaliação dos alunos nos exames nacionais, como os professores tentam resolver a equação que subscreve a aprendizagem a esse contexto específico? Como enfrentam o dilema das contradições trazidas por critérios universalizantes, que pressupõem um conhecimento abstrato e geral a ser atingido pelos alunos, e a resolução de problemas cognitivos nesse processo de aprendizagem condicionado pelas circunstâncias do bairro? </w:t>
      </w:r>
    </w:p>
    <w:p w:rsidR="00000000" w:rsidDel="00000000" w:rsidP="00000000" w:rsidRDefault="00000000" w:rsidRPr="00000000" w14:paraId="0000002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Pressionados por esse dilema, entre escolhas difíceis e conflitivas, os professores experimentam a angústia de colocar sob constante dúvida sua capacidade de ensinar, o que os obriga a se verem como objetos de atenção e reforma permanentes. Perguntam-se: que tipo de professor eu sou? Sou aquele professor mediador, mediando conhecimento, facilitador, transmissor ou aquele inovador? Ou, então, afirmam que o professor tem de ser quase um artista e ter criatividade. </w:t>
      </w:r>
    </w:p>
    <w:p w:rsidR="00000000" w:rsidDel="00000000" w:rsidP="00000000" w:rsidRDefault="00000000" w:rsidRPr="00000000" w14:paraId="0000002D">
      <w:pPr>
        <w:spacing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Como se não bastasse, há a incessante pergunta sobre o que é importante ensinar ou o que os alunos devem aprender, pois, como alguns professores acreditam, muitos alunos não sairão da situação em que se encontram. Sendo assim, há várias justificativas para que os professores continuem mantendo o empenho em ensinar. Dentre elas, a de que se os alunos continuarão sendo da classe trabalhadora, que a educação possa então lhes propiciar uma “vida digna de trabalhador”, consciente do seu trabalho. Outra justificativa é que, independentemente do lugar, o que está em pauta é a formação de seres humanos e, portanto, é necessário reconhecer que todos têm condições de aprender, como também habilidades diferentes. Nessa percepção, a nota e a avaliação não são tudo. Também há professores que consideram o “aprendizado para a vida” importante e não só para conquistar espaço profissional. Por isso incluem no ensino a discussão de temas ligados a valores, a comportamentos e ao respeito pelo outro, forma pela qual acreditam evitar problemas como violência, discriminação e </w:t>
      </w:r>
      <w:r w:rsidDel="00000000" w:rsidR="00000000" w:rsidRPr="00000000">
        <w:rPr>
          <w:rFonts w:ascii="Arial" w:cs="Arial" w:eastAsia="Arial" w:hAnsi="Arial"/>
          <w:i w:val="1"/>
          <w:sz w:val="22"/>
          <w:szCs w:val="22"/>
          <w:rtl w:val="0"/>
        </w:rPr>
        <w:t xml:space="preserve">bullying</w:t>
      </w:r>
      <w:r w:rsidDel="00000000" w:rsidR="00000000" w:rsidRPr="00000000">
        <w:rPr>
          <w:rFonts w:ascii="Arial" w:cs="Arial" w:eastAsia="Arial" w:hAnsi="Arial"/>
          <w:sz w:val="22"/>
          <w:szCs w:val="22"/>
          <w:rtl w:val="0"/>
        </w:rPr>
        <w:t xml:space="preserve"> na escola. Outros estimulam o ensino como uma forma de os alunos obterem outras possibilidades de “vencer na vida”, terem uma profissão regular e sobressaírem-se em outras áreas que não o “comércio”, embora reconheçam ser esse um objetivo difícil de ser alcançado porque, nesta atividade, em Foz do Iguaçu, há alunos que podem ganhar muito mais que um professor. </w:t>
      </w:r>
    </w:p>
    <w:p w:rsidR="00000000" w:rsidDel="00000000" w:rsidP="00000000" w:rsidRDefault="00000000" w:rsidRPr="00000000" w14:paraId="0000002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É surpreendente que, a despeito da intensa dedicação profissional e pessoal dos professores para além da sala de aula, visível no interesse de aperfeiçoamento e no tempo dedicado à escola, inclusive em seus finais de semana, as razões para o fracasso escolar – o alto índice de reprovação, a baixa avaliação no Ideb (Índice de Desenvolvimento da Educação Básica)</w:t>
      </w:r>
      <w:r w:rsidDel="00000000" w:rsidR="00000000" w:rsidRPr="00000000">
        <w:rPr>
          <w:rFonts w:ascii="Arial" w:cs="Arial" w:eastAsia="Arial" w:hAnsi="Arial"/>
          <w:sz w:val="22"/>
          <w:szCs w:val="22"/>
          <w:vertAlign w:val="superscript"/>
        </w:rPr>
        <w:footnoteReference w:customMarkFollows="0" w:id="11"/>
      </w:r>
      <w:r w:rsidDel="00000000" w:rsidR="00000000" w:rsidRPr="00000000">
        <w:rPr>
          <w:rFonts w:ascii="Arial" w:cs="Arial" w:eastAsia="Arial" w:hAnsi="Arial"/>
          <w:sz w:val="22"/>
          <w:szCs w:val="22"/>
          <w:rtl w:val="0"/>
        </w:rPr>
        <w:t xml:space="preserve"> e a evasão escolar do Colégio – sejam explicadas, simultaneamente, por uma responsabilização individual do aluno ou da família e por um deslizamento vertiginoso em direção ao contexto social e cultural mais abrangente do qual a escola é parte, subscrevendo a aprendizagem à desigualdade social aí verificada.</w:t>
      </w:r>
    </w:p>
    <w:p w:rsidR="00000000" w:rsidDel="00000000" w:rsidP="00000000" w:rsidRDefault="00000000" w:rsidRPr="00000000" w14:paraId="0000002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Assim, segundo alguns professores, o que segura o aluno na escola não é a dificuldade de aprendizagem, mas a falta de compromisso e de responsabilidade tanto do aluno quanto da família em aceitá-la e enfrentá-la, pois o aluno tem todas as oportunidades na escola. Uma  explicação recorrente é que a dificuldade de elevar a nota de avaliação por parte dos alunos é devido ao fato de serem eles desprovidos do acesso aos bens culturais, explicação que se repete em outras escolas de bairros pobres em Foz do Iguaçu. Cabe relembrar a ênfase constante dada pelos professores ao bairro, como uma comunidade carente e vulnerável, e à escola como um espaço para onde também convergem as problemáticas familiares, pois as famílias transferem a responsabilidade de educar para a instituição. Outra explicação para as razões do fracasso escolar pelos professores é que o Colégio recebe alunos emocionalmente instáveis, que geram indisciplina em sala de aula. </w:t>
      </w:r>
    </w:p>
    <w:p w:rsidR="00000000" w:rsidDel="00000000" w:rsidP="00000000" w:rsidRDefault="00000000" w:rsidRPr="00000000" w14:paraId="00000030">
      <w:pPr>
        <w:spacing w:line="360"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1">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Discutindo o fracasso  escolar dentro e fora do contexto etnográfico</w:t>
      </w:r>
    </w:p>
    <w:p w:rsidR="00000000" w:rsidDel="00000000" w:rsidP="00000000" w:rsidRDefault="00000000" w:rsidRPr="00000000" w14:paraId="0000003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Como se observa, os “problemas sociais”, advindos da exclusão simbólica do bairro (identificado como perigoso pela atividades ilícitas do comércio desenvolvido na fronteira) é a  categoria que sintetiza, na percepção dos professores do Colégio, as diversas causas para a evasão, a reprovação escolar e o baixo índice de avaliação dos alunos nos exames nacionais. Essa categoria torna visível, simultaneamente, o funcionamento de modos de conhecimentos e de práticas produzidos pelos professores do Colégio e pelos formuladores e gestores das políticas públicas que, em suas assimetrias e contrastes, são coincidentes ao assumir uma espécie de forma pública dos fundamentos explicativos para os desafios da educação no País, identificadas em torno das categorias sociais e sociológicas “cultura” e “contexto”. Se para os formuladores e gestores o fracasso escolar é avaliado por critérios universalizantes em termos de Estado-Nação ao pressupor um conhecimento abstrato e geral a ser atingido pelos alunos, para os professores ele é condicionado pelas circunstâncias do bairro que interferem no processo de aprendizagem condicionado. </w:t>
      </w:r>
    </w:p>
    <w:p w:rsidR="00000000" w:rsidDel="00000000" w:rsidP="00000000" w:rsidRDefault="00000000" w:rsidRPr="00000000" w14:paraId="0000003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Quero chamar atenção aqui para a “transformação” da cultura (e/ou o contexto) em empecilho para os esforços de ultrapassar as dificuldades de aprendizagem por parte dos professores, enredados por concepções/racionalizações que subscrevem a aprendizagem à desigualdade e à diferença na sociedade. </w:t>
      </w:r>
    </w:p>
    <w:p w:rsidR="00000000" w:rsidDel="00000000" w:rsidP="00000000" w:rsidRDefault="00000000" w:rsidRPr="00000000" w14:paraId="0000003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McDermott e Varenne (1995), estudando a “fabricação da incapacidade” na educação norte-americana, identificaram dois modos de contextualização para o fracasso escolar: o primeiro responde à questão dizendo que há algo errado na vida da criança e sua família. Essa resposta especifica que de fato há algo de errado no desenvolvimento cognitivo, linguístico e social das crianças. O segundo focaliza as razões do fracasso, mostrando o que está errado no mundo que foi dado às crianças para viverem. </w:t>
      </w:r>
    </w:p>
    <w:p w:rsidR="00000000" w:rsidDel="00000000" w:rsidP="00000000" w:rsidRDefault="00000000" w:rsidRPr="00000000" w14:paraId="0000003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Tanto lá como aqui, as categorias para descrever crianças e jovens com problemas de aprendizagem são remetidas à ideia de que elas são desprovidas cognitiva, linguística e culturalmente. Não só o contexto, mas a cultura passou a ser parte das explicações das razões para o fracasso escolar. A cultura, como devemos reconhecer, e parafraseando Mc Dermott e Varenne, (1995), também tem um olho cego e um ouvido surdo. Se a cultura é uma grande ocasião para desenvolver habilidades e definir formas para “fazer a coisa certa”, no “caminho certo”, ela também é uma grande ocasião para desenvolver incapacidades ou, pelo menos, para fazer com que as pessoas pensem que eles são incapazes. </w:t>
      </w:r>
    </w:p>
    <w:p w:rsidR="00000000" w:rsidDel="00000000" w:rsidP="00000000" w:rsidRDefault="00000000" w:rsidRPr="00000000" w14:paraId="00000036">
      <w:pPr>
        <w:spacing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Mc Dermott e Varenne (1995), apontando as repercussões desse tipo de pensamento essencialista no campo da Educação, descrevem três formas de pensamento desenvolvidas que vinculam a cultura à explicação do fracasso escolar. A primeira delas é esse argumento, comum aos professores do Colégio, de que crianças e jovens fracassam na escola porque eles têm experiências empobrecidas no ambiente empobrecido de suas casas, tendo pouco desenvolvida a capacidade de abstração, de raciocínios lógicos e de considerações a respeito do comportamento linguístico metacontextual, comuns a determinados grupos e a outros não. A consequência é que, primeiro, não há possibilidades de transformação desses jovens e crianças por meio da interação porque isso depende, de antemão, de seu posicionamento na estrutura social e, depois, constituiria um caminho para “escapar” da sociedade, retornando aos alunos, individualmente, como responsáveis pelo seu próprio fracasso. </w:t>
      </w:r>
    </w:p>
    <w:p w:rsidR="00000000" w:rsidDel="00000000" w:rsidP="00000000" w:rsidRDefault="00000000" w:rsidRPr="00000000" w14:paraId="00000037">
      <w:pPr>
        <w:spacing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segunda é a abordagem da diferença. Parafraseando Strarthern (1995), o bom da cultura é que todo mundo tem uma. Essa segunda abordagem levanta a possibilidade de que os grupos desenvolvem demandas de suas culturas em suas várias formas e por isso são equivalentes em termos de desenvolvimento humano. Para explicar o fracasso escolar, a abordagem da diferença considera que os alunos de uma minoria cultural, em interação com professores, de uma formação cultural dominante, sofrem por falta de comunicação. Alienados, abandonam a escola, apesar do fato de eles serem, pelo menos potencialmente, capazes. Essa é, de longe, a linguagem mais popular entre os antropólogos para teorizar sobre ensino e aprendizagem. É a mais próxima do senso comum antropológico para falar sobre o que está bloqueado no sistema escolar. Contra a onda do pensamento que atribuía as dificuldades de aprendizagem à privação e explicava essas dificuldades pela diferença, a abordagem da diferença tornou-se uma forma de honrar a vida daqueles que tinham sido deixados fora do sistema e que, por sua vez, foram sendo responsabilizados por sua falta. Um dos exemplos de Mc Dermott e Varenne (1995) é sobre percepção de uma  pobreza da linguagem, que passou a ser vista como uma gramática complexa e deveria ser estudada em relação às situações sociais. Ocorreu desse modo uma insuspeita e delicada tensão entre essas duas abordagens (a da privação e da diferença) porque ser pobre e destituído pode ser visto como uma das formas comuns de existir dentro de uma estrutura social. Ser pobre passa a ser parte da cultura. </w:t>
      </w:r>
    </w:p>
    <w:p w:rsidR="00000000" w:rsidDel="00000000" w:rsidP="00000000" w:rsidRDefault="00000000" w:rsidRPr="00000000" w14:paraId="00000038">
      <w:pPr>
        <w:spacing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última abordagem apontada por Mc Dermott e Varenne, (1995) considera a própria cultura como uma forma de incapacidade ou deficiência: cada cultura tem como um padrão historicamente evoluído de instituições e oferece uma grande variedade de posições para os seres humanos que a habitam. Cada posição deve ser conhecida como particular, ter qualidades que a simbolizem e, assim, se constitui em relação aos outros, pois nenhum grupo está sozinho. Essa abordagem começa pela universalização da diferença, com a questão sobre as razões pelas quais qualquer cultura deveria desenvolver-se em um conjunto estável de tarefas, e uma teoria do desenvolvimento cognitivo, dentro da qual pessoas de diferentes tipos podem ser distinguidas, medidas, documentadas, remediadas ou empurradas para o lado. Fundamenta essa abordagem a existência de mundos complexos de grupos de indivíduos múltiplos em relacionamento com outros. Cada grupo seria caracterizado por sua cultura, como também por sua cognição. Essa versão simplista de teorização faz parte de uma agenda política institucional ampla e, em particular, tem sido útil para os Estados modernos, ideologicamente racionalistas, divididos em classes, de bases industriais e informacionais. Ela contribui para isolar indivíduos em unidades de análise e para registrar o funcionamento da cognição para o escrutínio público e de controle, como vem ocorrendo com as políticas educacionais no Brasil, em que o governo vem tornando-se cada vez mais produtor e detentor de registros estatísticos como os do INEP (Instituto Nacional de Pesquisas e Estudos Educacionais Anísio Teixeira). Assim, nos últimos anos, o desempenho escolar tornou-se uma parte exagerada dos arranjos políticos estabelecidos e, colocando todos contra tudo em uma corrida para realização acadêmica mensurável em tarefas arbitrárias, a escola tornou-se um local principal para a reprodução da desigualdade, também no acesso aos recursos.</w:t>
      </w:r>
    </w:p>
    <w:p w:rsidR="00000000" w:rsidDel="00000000" w:rsidP="00000000" w:rsidRDefault="00000000" w:rsidRPr="00000000" w14:paraId="00000039">
      <w:pPr>
        <w:spacing w:after="240" w:line="3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Duas consequências decorrem dessa última abordagem: por um lado, o grupo dominante simplesmente impõe suas próprias ideias como definidoras e identifica toda diferença como fora de padrão. Por outro, essas minorias constituem grupos autenticamente diferentes do ponto de vista de seus próprios membros. Eles são o que são porque cada grupo tem sua própria cultura. Em seu núcleo está a ideia de que a uniformidade cultural é o pré- requisito fundamental para o acesso à cidadania, e que a igualdade política formal pressupõe a escolarização para a conquista social. O “problema” da educação é visto, assim, tanto como ameaça política à integridade quanto à identidade nacionais, porque o Estado-Nação igualmente é concebido como fundamentado em uma comunidade distinta, cujos vínculos mobilizam um sentimento compartilhado de pertencimento e uma lealdade radicada em língua, tradições culturais e crenças comuns. Tal tensão entre opostos complementares, visível na concepção do Estado-Nação como universalista  e singular, é igualmente estruturante dos desafios enfrentados pela educação, traduzida nas discussões entre educação e sociedade e/ou cultura, próprias tanto dos agentes formuladores das políticas quanto dos educadores. No Colégio Ipê Roxo, o contexto fronteiriço igualmente transforma-se em empecilho para os esforços de ultrapassar as dificuldades de aprendizagem por parte dos professores, enredados por concepções/racionalizações que subscrevem a aprendizagem às condições de trabalho e de vida na fronteira. Do ponto de vista dos professores, expresso nas entrevistas e no Projeto Político Pedagógico, isso ocorre por causa da localização, não apenas social, mas simbólica do bairro. Tal documento reitera as consequências desse “isolamento” simbólico do bairro, feito da história do desfavelamento, sendo assim significado como um lugar perigoso, de atividades “ilícitas” e até mesmo de descontrole, imagens comumente associadas a Foz do Iguaçu, como cidade de fronteira geopolítica. Esse contexto, segundo eles, suscita a dúvida sobre o alcance e a validade da educação e impõe dificuldades de aprendizagem.</w:t>
      </w:r>
    </w:p>
    <w:p w:rsidR="00000000" w:rsidDel="00000000" w:rsidP="00000000" w:rsidRDefault="00000000" w:rsidRPr="00000000" w14:paraId="0000003A">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Referências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Bibliográficas</w:t>
      </w:r>
    </w:p>
    <w:p w:rsidR="00000000" w:rsidDel="00000000" w:rsidP="00000000" w:rsidRDefault="00000000" w:rsidRPr="00000000" w14:paraId="0000003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ALBUQUERQUE, José Lindomar C. (2009). A dinâmica das fronteiras: deslocamento e circulação dos "brasiguaios" entre os limites nacionais. </w:t>
      </w:r>
      <w:r w:rsidDel="00000000" w:rsidR="00000000" w:rsidRPr="00000000">
        <w:rPr>
          <w:rFonts w:ascii="Arial" w:cs="Arial" w:eastAsia="Arial" w:hAnsi="Arial"/>
          <w:i w:val="1"/>
          <w:sz w:val="22"/>
          <w:szCs w:val="22"/>
          <w:rtl w:val="0"/>
        </w:rPr>
        <w:t xml:space="preserve">Horizontes Antropológicos</w:t>
      </w:r>
      <w:r w:rsidDel="00000000" w:rsidR="00000000" w:rsidRPr="00000000">
        <w:rPr>
          <w:rFonts w:ascii="Arial" w:cs="Arial" w:eastAsia="Arial" w:hAnsi="Arial"/>
          <w:sz w:val="22"/>
          <w:szCs w:val="22"/>
          <w:rtl w:val="0"/>
        </w:rPr>
        <w:t xml:space="preserve">, 15(31), 137-166. Acesso em 26 de fevereiro de  2014 </w:t>
      </w:r>
      <w:hyperlink r:id="rId8">
        <w:r w:rsidDel="00000000" w:rsidR="00000000" w:rsidRPr="00000000">
          <w:rPr>
            <w:rFonts w:ascii="Arial" w:cs="Arial" w:eastAsia="Arial" w:hAnsi="Arial"/>
            <w:color w:val="0000ff"/>
            <w:sz w:val="22"/>
            <w:szCs w:val="22"/>
            <w:u w:val="single"/>
            <w:rtl w:val="0"/>
          </w:rPr>
          <w:t xml:space="preserve">http://www.scielo.br/scielo.php?script=sci_arttext&amp;pid=S0104-</w:t>
        </w:r>
      </w:hyperlink>
      <w:r w:rsidDel="00000000" w:rsidR="00000000" w:rsidRPr="00000000">
        <w:rPr>
          <w:rtl w:val="0"/>
        </w:rPr>
      </w:r>
    </w:p>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ANDERSON, B. Comunidades Imaginadas. Introdução. Cap 1 e 2. São Paulo: Companhia das Letras, 2008.</w:t>
      </w:r>
    </w:p>
    <w:p w:rsidR="00000000" w:rsidDel="00000000" w:rsidP="00000000" w:rsidRDefault="00000000" w:rsidRPr="00000000" w14:paraId="0000004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BOURDIEU, Pierre. (1992). </w:t>
      </w:r>
      <w:r w:rsidDel="00000000" w:rsidR="00000000" w:rsidRPr="00000000">
        <w:rPr>
          <w:rFonts w:ascii="Arial" w:cs="Arial" w:eastAsia="Arial" w:hAnsi="Arial"/>
          <w:i w:val="1"/>
          <w:sz w:val="22"/>
          <w:szCs w:val="22"/>
          <w:rtl w:val="0"/>
        </w:rPr>
        <w:t xml:space="preserve">A reprodução</w:t>
      </w:r>
      <w:r w:rsidDel="00000000" w:rsidR="00000000" w:rsidRPr="00000000">
        <w:rPr>
          <w:rFonts w:ascii="Arial" w:cs="Arial" w:eastAsia="Arial" w:hAnsi="Arial"/>
          <w:sz w:val="22"/>
          <w:szCs w:val="22"/>
          <w:rtl w:val="0"/>
        </w:rPr>
        <w:t xml:space="preserve">. Rio de Janeiro: Francisco Alves.</w:t>
      </w:r>
    </w:p>
    <w:p w:rsidR="00000000" w:rsidDel="00000000" w:rsidP="00000000" w:rsidRDefault="00000000" w:rsidRPr="00000000" w14:paraId="00000041">
      <w:pPr>
        <w:widowControl w:val="0"/>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BOURDIEU, Pierre. (1987). </w:t>
      </w:r>
      <w:r w:rsidDel="00000000" w:rsidR="00000000" w:rsidRPr="00000000">
        <w:rPr>
          <w:rFonts w:ascii="Arial" w:cs="Arial" w:eastAsia="Arial" w:hAnsi="Arial"/>
          <w:i w:val="1"/>
          <w:sz w:val="22"/>
          <w:szCs w:val="22"/>
          <w:rtl w:val="0"/>
        </w:rPr>
        <w:t xml:space="preserve">A economia das trocas simbólicas</w:t>
      </w:r>
      <w:r w:rsidDel="00000000" w:rsidR="00000000" w:rsidRPr="00000000">
        <w:rPr>
          <w:rFonts w:ascii="Arial" w:cs="Arial" w:eastAsia="Arial" w:hAnsi="Arial"/>
          <w:sz w:val="22"/>
          <w:szCs w:val="22"/>
          <w:rtl w:val="0"/>
        </w:rPr>
        <w:t xml:space="preserve">. São Paulo: Perspectiva,.</w:t>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CARDIN. Eric G. (2011). Ação racional e cotidiano: notas para o estudo dos trabalhadores da Tríplice Fronteira. In Santos, M.E.P. e Silva, R.C.M e.(orgs) </w:t>
      </w:r>
      <w:r w:rsidDel="00000000" w:rsidR="00000000" w:rsidRPr="00000000">
        <w:rPr>
          <w:rFonts w:ascii="Arial" w:cs="Arial" w:eastAsia="Arial" w:hAnsi="Arial"/>
          <w:i w:val="1"/>
          <w:sz w:val="22"/>
          <w:szCs w:val="22"/>
          <w:rtl w:val="0"/>
        </w:rPr>
        <w:t xml:space="preserve">Cenários em perspectiva: diversidades na Tríplice Fronteira</w:t>
      </w:r>
      <w:r w:rsidDel="00000000" w:rsidR="00000000" w:rsidRPr="00000000">
        <w:rPr>
          <w:rFonts w:ascii="Arial" w:cs="Arial" w:eastAsia="Arial" w:hAnsi="Arial"/>
          <w:sz w:val="22"/>
          <w:szCs w:val="22"/>
          <w:rtl w:val="0"/>
        </w:rPr>
        <w:t xml:space="preserve">. Cascavel:EDUNIOESTE. </w:t>
      </w:r>
    </w:p>
    <w:p w:rsidR="00000000" w:rsidDel="00000000" w:rsidP="00000000" w:rsidRDefault="00000000" w:rsidRPr="00000000" w14:paraId="00000043">
      <w:pPr>
        <w:widowControl w:val="0"/>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FOUCAULT, M. (1988). </w:t>
      </w:r>
      <w:r w:rsidDel="00000000" w:rsidR="00000000" w:rsidRPr="00000000">
        <w:rPr>
          <w:rFonts w:ascii="Arial" w:cs="Arial" w:eastAsia="Arial" w:hAnsi="Arial"/>
          <w:i w:val="1"/>
          <w:sz w:val="22"/>
          <w:szCs w:val="22"/>
          <w:rtl w:val="0"/>
        </w:rPr>
        <w:t xml:space="preserve">Microfísica do Poder</w:t>
      </w:r>
      <w:r w:rsidDel="00000000" w:rsidR="00000000" w:rsidRPr="00000000">
        <w:rPr>
          <w:rFonts w:ascii="Arial" w:cs="Arial" w:eastAsia="Arial" w:hAnsi="Arial"/>
          <w:sz w:val="22"/>
          <w:szCs w:val="22"/>
          <w:rtl w:val="0"/>
        </w:rPr>
        <w:t xml:space="preserve">. Rio de Janeiro: GRAAL.</w:t>
      </w:r>
    </w:p>
    <w:p w:rsidR="00000000" w:rsidDel="00000000" w:rsidP="00000000" w:rsidRDefault="00000000" w:rsidRPr="00000000" w14:paraId="00000044">
      <w:pPr>
        <w:widowControl w:val="0"/>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FOUCAULT, M. (1999). </w:t>
      </w:r>
      <w:r w:rsidDel="00000000" w:rsidR="00000000" w:rsidRPr="00000000">
        <w:rPr>
          <w:rFonts w:ascii="Arial" w:cs="Arial" w:eastAsia="Arial" w:hAnsi="Arial"/>
          <w:i w:val="1"/>
          <w:sz w:val="22"/>
          <w:szCs w:val="22"/>
          <w:rtl w:val="0"/>
        </w:rPr>
        <w:t xml:space="preserve">Vigiar e Punir: nascimento da prisão</w:t>
      </w:r>
      <w:r w:rsidDel="00000000" w:rsidR="00000000" w:rsidRPr="00000000">
        <w:rPr>
          <w:rFonts w:ascii="Arial" w:cs="Arial" w:eastAsia="Arial" w:hAnsi="Arial"/>
          <w:sz w:val="22"/>
          <w:szCs w:val="22"/>
          <w:rtl w:val="0"/>
        </w:rPr>
        <w:t xml:space="preserve">. 20. ed. Rio de Janeiro: Vozes. </w:t>
      </w:r>
    </w:p>
    <w:p w:rsidR="00000000" w:rsidDel="00000000" w:rsidP="00000000" w:rsidRDefault="00000000" w:rsidRPr="00000000" w14:paraId="00000045">
      <w:pPr>
        <w:widowControl w:val="0"/>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GELLNER, E.  O advento do nacionalismo e sua interpretação: os mitos da nação e da classe .In BALAKRISHNAN, Gopal (organização). Cap. 4 – in Um mapa da questão nacional. Rio de Janeiro: Contraponto Editora Ltda, 1996.</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HOBSBAWN., E. J. 1984. Introdução e A produção em massa de tradições. In HOBSBAWN, E. J. E RANGER, T. A invenção das tradições. Rio de Janeiro, Paz e Terra, 1997.</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KUPER, Adam. (2002).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Cultura: a visão dos antropólogos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Bauru/SP: EDUSC. </w:t>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LAIHRE, Bernard. (2003). Crenças coletivas e desigualdades culturais. </w:t>
      </w:r>
      <w:r w:rsidDel="00000000" w:rsidR="00000000" w:rsidRPr="00000000">
        <w:rPr>
          <w:rFonts w:ascii="Arial" w:cs="Arial" w:eastAsia="Arial" w:hAnsi="Arial"/>
          <w:i w:val="1"/>
          <w:sz w:val="22"/>
          <w:szCs w:val="22"/>
          <w:rtl w:val="0"/>
        </w:rPr>
        <w:t xml:space="preserve">Educação e Sociedade.</w:t>
      </w:r>
      <w:r w:rsidDel="00000000" w:rsidR="00000000" w:rsidRPr="00000000">
        <w:rPr>
          <w:rFonts w:ascii="Arial" w:cs="Arial" w:eastAsia="Arial" w:hAnsi="Arial"/>
          <w:sz w:val="22"/>
          <w:szCs w:val="22"/>
          <w:rtl w:val="0"/>
        </w:rPr>
        <w:t xml:space="preserve"> Campinas, vol. 24, n. 84, p. 983-995. </w:t>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LAVE, Jean. (1988). </w:t>
      </w:r>
      <w:r w:rsidDel="00000000" w:rsidR="00000000" w:rsidRPr="00000000">
        <w:rPr>
          <w:rFonts w:ascii="Arial" w:cs="Arial" w:eastAsia="Arial" w:hAnsi="Arial"/>
          <w:i w:val="1"/>
          <w:sz w:val="22"/>
          <w:szCs w:val="22"/>
          <w:rtl w:val="0"/>
        </w:rPr>
        <w:t xml:space="preserve">Cognition in practice: mind, mathematics and culture in everyday life</w:t>
      </w:r>
      <w:r w:rsidDel="00000000" w:rsidR="00000000" w:rsidRPr="00000000">
        <w:rPr>
          <w:rFonts w:ascii="Arial" w:cs="Arial" w:eastAsia="Arial" w:hAnsi="Arial"/>
          <w:sz w:val="22"/>
          <w:szCs w:val="22"/>
          <w:rtl w:val="0"/>
        </w:rPr>
        <w:t xml:space="preserve">. Cambridge: Cambridge University Press.</w:t>
      </w:r>
    </w:p>
    <w:p w:rsidR="00000000" w:rsidDel="00000000" w:rsidP="00000000" w:rsidRDefault="00000000" w:rsidRPr="00000000" w14:paraId="0000004A">
      <w:pPr>
        <w:widowControl w:val="0"/>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LAVE, Jean, WENGER, Etienne. (1991). </w:t>
      </w:r>
      <w:r w:rsidDel="00000000" w:rsidR="00000000" w:rsidRPr="00000000">
        <w:rPr>
          <w:rFonts w:ascii="Arial" w:cs="Arial" w:eastAsia="Arial" w:hAnsi="Arial"/>
          <w:i w:val="1"/>
          <w:sz w:val="22"/>
          <w:szCs w:val="22"/>
          <w:rtl w:val="0"/>
        </w:rPr>
        <w:t xml:space="preserve">Situated Learning</w:t>
      </w:r>
      <w:r w:rsidDel="00000000" w:rsidR="00000000" w:rsidRPr="00000000">
        <w:rPr>
          <w:rFonts w:ascii="Arial" w:cs="Arial" w:eastAsia="Arial" w:hAnsi="Arial"/>
          <w:sz w:val="22"/>
          <w:szCs w:val="22"/>
          <w:rtl w:val="0"/>
        </w:rPr>
        <w:t xml:space="preserve">. Cambridge: Cambridge University Press (CUP).</w:t>
      </w:r>
    </w:p>
    <w:p w:rsidR="00000000" w:rsidDel="00000000" w:rsidP="00000000" w:rsidRDefault="00000000" w:rsidRPr="00000000" w14:paraId="0000004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LAVE, Jean. (1996). Teaching, as learning, in practice. </w:t>
      </w:r>
      <w:r w:rsidDel="00000000" w:rsidR="00000000" w:rsidRPr="00000000">
        <w:rPr>
          <w:rFonts w:ascii="Arial" w:cs="Arial" w:eastAsia="Arial" w:hAnsi="Arial"/>
          <w:i w:val="1"/>
          <w:sz w:val="22"/>
          <w:szCs w:val="22"/>
          <w:rtl w:val="0"/>
        </w:rPr>
        <w:t xml:space="preserve">Mind, Culture and Activity</w:t>
      </w:r>
      <w:r w:rsidDel="00000000" w:rsidR="00000000" w:rsidRPr="00000000">
        <w:rPr>
          <w:rFonts w:ascii="Arial" w:cs="Arial" w:eastAsia="Arial" w:hAnsi="Arial"/>
          <w:sz w:val="22"/>
          <w:szCs w:val="22"/>
          <w:rtl w:val="0"/>
        </w:rPr>
        <w:t xml:space="preserve"> v.3, n.3, 149-164..</w:t>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LAVE, J. (2011). </w:t>
      </w:r>
      <w:r w:rsidDel="00000000" w:rsidR="00000000" w:rsidRPr="00000000">
        <w:rPr>
          <w:rFonts w:ascii="Arial" w:cs="Arial" w:eastAsia="Arial" w:hAnsi="Arial"/>
          <w:i w:val="1"/>
          <w:sz w:val="22"/>
          <w:szCs w:val="22"/>
          <w:rtl w:val="0"/>
        </w:rPr>
        <w:t xml:space="preserve">Apprenticeship in critical ethnographic practice</w:t>
      </w:r>
      <w:r w:rsidDel="00000000" w:rsidR="00000000" w:rsidRPr="00000000">
        <w:rPr>
          <w:rFonts w:ascii="Arial" w:cs="Arial" w:eastAsia="Arial" w:hAnsi="Arial"/>
          <w:sz w:val="22"/>
          <w:szCs w:val="22"/>
          <w:rtl w:val="0"/>
        </w:rPr>
        <w:t xml:space="preserve">. Chicago: University of Chicago Press.</w:t>
      </w:r>
    </w:p>
    <w:p w:rsidR="00000000" w:rsidDel="00000000" w:rsidP="00000000" w:rsidRDefault="00000000" w:rsidRPr="00000000" w14:paraId="0000004D">
      <w:pPr>
        <w:spacing w:after="2" w:before="2"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MCDERMOTT, Ray and VARENNE, Hervé.</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(1995).  Culture as Disability . Acesso em 23/06/2012 </w:t>
      </w:r>
      <w:hyperlink r:id="rId9">
        <w:r w:rsidDel="00000000" w:rsidR="00000000" w:rsidRPr="00000000">
          <w:rPr>
            <w:rFonts w:ascii="Arial" w:cs="Arial" w:eastAsia="Arial" w:hAnsi="Arial"/>
            <w:color w:val="0000ff"/>
            <w:sz w:val="22"/>
            <w:szCs w:val="22"/>
            <w:u w:val="single"/>
            <w:rtl w:val="0"/>
          </w:rPr>
          <w:t xml:space="preserve">http://serendip.brynmawr.edu/sci_cult/culturedisability.html</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E">
      <w:pPr>
        <w:spacing w:after="2" w:before="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after="2" w:before="2"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AUTORES. </w:t>
      </w:r>
      <w:r w:rsidDel="00000000" w:rsidR="00000000" w:rsidRPr="00000000">
        <w:rPr>
          <w:rFonts w:ascii="Arial" w:cs="Arial" w:eastAsia="Arial" w:hAnsi="Arial"/>
          <w:i w:val="1"/>
          <w:sz w:val="22"/>
          <w:szCs w:val="22"/>
          <w:rtl w:val="0"/>
        </w:rPr>
        <w:t xml:space="preserve">Delta </w:t>
      </w:r>
      <w:r w:rsidDel="00000000" w:rsidR="00000000" w:rsidRPr="00000000">
        <w:rPr>
          <w:rFonts w:ascii="Arial" w:cs="Arial" w:eastAsia="Arial" w:hAnsi="Arial"/>
          <w:sz w:val="22"/>
          <w:szCs w:val="22"/>
          <w:rtl w:val="0"/>
        </w:rPr>
        <w:t xml:space="preserve">n.31 Especial (no prelo).</w:t>
      </w:r>
    </w:p>
    <w:p w:rsidR="00000000" w:rsidDel="00000000" w:rsidP="00000000" w:rsidRDefault="00000000" w:rsidRPr="00000000" w14:paraId="0000005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SOUZA, S. A. (2001). </w:t>
      </w:r>
      <w:r w:rsidDel="00000000" w:rsidR="00000000" w:rsidRPr="00000000">
        <w:rPr>
          <w:rFonts w:ascii="Arial" w:cs="Arial" w:eastAsia="Arial" w:hAnsi="Arial"/>
          <w:i w:val="1"/>
          <w:sz w:val="22"/>
          <w:szCs w:val="22"/>
          <w:rtl w:val="0"/>
        </w:rPr>
        <w:t xml:space="preserve">Gestão escolar compartilhada: democracia ou descompromisso?.</w:t>
      </w:r>
      <w:r w:rsidDel="00000000" w:rsidR="00000000" w:rsidRPr="00000000">
        <w:rPr>
          <w:rFonts w:ascii="Arial" w:cs="Arial" w:eastAsia="Arial" w:hAnsi="Arial"/>
          <w:sz w:val="22"/>
          <w:szCs w:val="22"/>
          <w:rtl w:val="0"/>
        </w:rPr>
        <w:t xml:space="preserve"> 1. ed. São Paulo: Xamã Editora,. v. 01. 215 p .</w:t>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SOUZA, S. A. (2013). </w:t>
      </w:r>
      <w:r w:rsidDel="00000000" w:rsidR="00000000" w:rsidRPr="00000000">
        <w:rPr>
          <w:rFonts w:ascii="Arial" w:cs="Arial" w:eastAsia="Arial" w:hAnsi="Arial"/>
          <w:i w:val="1"/>
          <w:sz w:val="22"/>
          <w:szCs w:val="22"/>
          <w:rtl w:val="0"/>
        </w:rPr>
        <w:t xml:space="preserve">Educação, trabalho voluntário e 'responsabilidade social'</w:t>
      </w:r>
      <w:r w:rsidDel="00000000" w:rsidR="00000000" w:rsidRPr="00000000">
        <w:rPr>
          <w:rFonts w:ascii="Arial" w:cs="Arial" w:eastAsia="Arial" w:hAnsi="Arial"/>
          <w:sz w:val="22"/>
          <w:szCs w:val="22"/>
          <w:rtl w:val="0"/>
        </w:rPr>
        <w:t xml:space="preserve">. 1. ed. São Paulo: Xamã Editora.</w:t>
      </w:r>
    </w:p>
    <w:p w:rsidR="00000000" w:rsidDel="00000000" w:rsidP="00000000" w:rsidRDefault="00000000" w:rsidRPr="00000000" w14:paraId="0000005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Referências documentais e primárias</w:t>
      </w:r>
    </w:p>
    <w:p w:rsidR="00000000" w:rsidDel="00000000" w:rsidP="00000000" w:rsidRDefault="00000000" w:rsidRPr="00000000" w14:paraId="00000054">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SANTOS, Maria Elena P. (</w:t>
      </w:r>
      <w:r w:rsidDel="00000000" w:rsidR="00000000" w:rsidRPr="00000000">
        <w:rPr>
          <w:rFonts w:ascii="Arial" w:cs="Arial" w:eastAsia="Arial" w:hAnsi="Arial"/>
          <w:b w:val="0"/>
          <w:i w:val="0"/>
          <w:color w:val="000000"/>
          <w:sz w:val="22"/>
          <w:szCs w:val="22"/>
          <w:rtl w:val="0"/>
        </w:rPr>
        <w:t xml:space="preserve">2010). Observatório da Educação. Núcleo de Pesquisa/Extensão: formação continuada em leitura, escrita e oralidade. </w:t>
      </w:r>
      <w:r w:rsidDel="00000000" w:rsidR="00000000" w:rsidRPr="00000000">
        <w:rPr>
          <w:rFonts w:ascii="Arial" w:cs="Arial" w:eastAsia="Arial" w:hAnsi="Arial"/>
          <w:b w:val="0"/>
          <w:i w:val="1"/>
          <w:color w:val="000000"/>
          <w:sz w:val="22"/>
          <w:szCs w:val="22"/>
          <w:rtl w:val="0"/>
        </w:rPr>
        <w:t xml:space="preserve">Mimeo</w:t>
      </w:r>
      <w:r w:rsidDel="00000000" w:rsidR="00000000" w:rsidRPr="00000000">
        <w:rPr>
          <w:rFonts w:ascii="Arial" w:cs="Arial" w:eastAsia="Arial" w:hAnsi="Arial"/>
          <w:b w:val="0"/>
          <w:i w:val="0"/>
          <w:color w:val="000000"/>
          <w:sz w:val="22"/>
          <w:szCs w:val="22"/>
          <w:rtl w:val="0"/>
        </w:rPr>
        <w:t xml:space="preserve">.Foz do Iguaçu,.</w:t>
      </w:r>
      <w:r w:rsidDel="00000000" w:rsidR="00000000" w:rsidRPr="00000000">
        <w:rPr>
          <w:rtl w:val="0"/>
        </w:rPr>
      </w:r>
    </w:p>
    <w:p w:rsidR="00000000" w:rsidDel="00000000" w:rsidP="00000000" w:rsidRDefault="00000000" w:rsidRPr="00000000" w14:paraId="0000005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Projeto Político pedagógico. (2002). Elaborado pelo professores do Colégio Ipê Roxo. </w:t>
      </w:r>
      <w:r w:rsidDel="00000000" w:rsidR="00000000" w:rsidRPr="00000000">
        <w:rPr>
          <w:rFonts w:ascii="Arial" w:cs="Arial" w:eastAsia="Arial" w:hAnsi="Arial"/>
          <w:i w:val="1"/>
          <w:sz w:val="22"/>
          <w:szCs w:val="22"/>
          <w:rtl w:val="0"/>
        </w:rPr>
        <w:t xml:space="preserve">Mimeo</w:t>
      </w:r>
      <w:r w:rsidDel="00000000" w:rsidR="00000000" w:rsidRPr="00000000">
        <w:rPr>
          <w:rFonts w:ascii="Arial" w:cs="Arial" w:eastAsia="Arial" w:hAnsi="Arial"/>
          <w:sz w:val="22"/>
          <w:szCs w:val="22"/>
          <w:rtl w:val="0"/>
        </w:rPr>
        <w:t xml:space="preserve">. Foz do Iguaçu.</w:t>
      </w:r>
    </w:p>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BRASIL. Ministério da Educação. Portal do Ministério da Educação. Disponível em </w:t>
      </w:r>
      <w:hyperlink r:id="rId10">
        <w:r w:rsidDel="00000000" w:rsidR="00000000" w:rsidRPr="00000000">
          <w:rPr>
            <w:rFonts w:ascii="Arial" w:cs="Arial" w:eastAsia="Arial" w:hAnsi="Arial"/>
            <w:color w:val="0000ff"/>
            <w:sz w:val="22"/>
            <w:szCs w:val="22"/>
            <w:u w:val="single"/>
            <w:rtl w:val="0"/>
          </w:rPr>
          <w:t xml:space="preserve">http://portal.mec.gov.br/index.php/?id=12309&amp;option=com_content&amp;view=article</w:t>
        </w:r>
      </w:hyperlink>
      <w:r w:rsidDel="00000000" w:rsidR="00000000" w:rsidRPr="00000000">
        <w:rPr>
          <w:rFonts w:ascii="Arial" w:cs="Arial" w:eastAsia="Arial" w:hAnsi="Arial"/>
          <w:sz w:val="22"/>
          <w:szCs w:val="22"/>
          <w:rtl w:val="0"/>
        </w:rPr>
        <w:t xml:space="preserve"> Acesso em: 26 de fev. de 2014.</w:t>
      </w:r>
    </w:p>
    <w:p w:rsidR="00000000" w:rsidDel="00000000" w:rsidP="00000000" w:rsidRDefault="00000000" w:rsidRPr="00000000" w14:paraId="0000005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BRASIL. Ministério da Educação. Instituto nacional de estudos e pesquisas educacionais Anísio Teixeira, ( INEP) Disponível em http://portal.inep.gov.br/web/observatorio-da-educacao/o-que-e Acesso em: 17-09-2013.</w:t>
      </w:r>
    </w:p>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BRASIL. Ministério da Educação. Instituto nacional de estudos e pesquisas educacionais Anísio Teixeira ( INEP). Disponível em http://sistemasideb.inep.gov.br/resultado/ Acesso em: 08 de maio de 2015.</w:t>
      </w:r>
    </w:p>
    <w:p w:rsidR="00000000" w:rsidDel="00000000" w:rsidP="00000000" w:rsidRDefault="00000000" w:rsidRPr="00000000" w14:paraId="0000005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BRASIL. Ministério da Educação. Disponível em (</w:t>
      </w:r>
      <w:hyperlink r:id="rId11">
        <w:r w:rsidDel="00000000" w:rsidR="00000000" w:rsidRPr="00000000">
          <w:rPr>
            <w:rFonts w:ascii="Arial" w:cs="Arial" w:eastAsia="Arial" w:hAnsi="Arial"/>
            <w:color w:val="0000ff"/>
            <w:sz w:val="22"/>
            <w:szCs w:val="22"/>
            <w:u w:val="single"/>
            <w:rtl w:val="0"/>
          </w:rPr>
          <w:t xml:space="preserve">http://portal.mec.gov.br/index.php/?id=12309&amp;option=com_content&amp;view=article</w:t>
        </w:r>
      </w:hyperlink>
      <w:r w:rsidDel="00000000" w:rsidR="00000000" w:rsidRPr="00000000">
        <w:rPr>
          <w:rFonts w:ascii="Arial" w:cs="Arial" w:eastAsia="Arial" w:hAnsi="Arial"/>
          <w:sz w:val="22"/>
          <w:szCs w:val="22"/>
          <w:rtl w:val="0"/>
        </w:rPr>
        <w:t xml:space="preserve"> Acesso </w:t>
      </w:r>
    </w:p>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 : 25 de fev. de 2014.</w:t>
      </w:r>
    </w:p>
    <w:p w:rsidR="00000000" w:rsidDel="00000000" w:rsidP="00000000" w:rsidRDefault="00000000" w:rsidRPr="00000000" w14:paraId="0000005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PARANÁ. Secretaria da Educação. Colégio Estadual Ipê Roxo. Disponível em </w:t>
      </w:r>
      <w:hyperlink r:id="rId12">
        <w:r w:rsidDel="00000000" w:rsidR="00000000" w:rsidRPr="00000000">
          <w:rPr>
            <w:rFonts w:ascii="Arial" w:cs="Arial" w:eastAsia="Arial" w:hAnsi="Arial"/>
            <w:color w:val="0000ff"/>
            <w:sz w:val="22"/>
            <w:szCs w:val="22"/>
            <w:u w:val="single"/>
            <w:rtl w:val="0"/>
          </w:rPr>
          <w:t xml:space="preserve">http://www.foziperoxo.seed.pr.gov.br/modules/conteudo/conteudo.php?conteudo=1</w:t>
        </w:r>
      </w:hyperlink>
      <w:r w:rsidDel="00000000" w:rsidR="00000000" w:rsidRPr="00000000">
        <w:rPr>
          <w:rFonts w:ascii="Arial" w:cs="Arial" w:eastAsia="Arial" w:hAnsi="Arial"/>
          <w:sz w:val="22"/>
          <w:szCs w:val="22"/>
          <w:rtl w:val="0"/>
        </w:rPr>
        <w:t xml:space="preserve"> Acesso em:  7 de maio de 2015.</w:t>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sectPr>
      <w:headerReference r:id="rId13" w:type="default"/>
      <w:headerReference r:id="rId14" w:type="even"/>
      <w:pgSz w:h="16840" w:w="11900"/>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Cantata One"/>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Paráfrase de McDermott e Varenne (1995), cujo significado será contextualizado ao longo deste artigo.</w:t>
      </w:r>
    </w:p>
  </w:footnote>
  <w:footnote w:id="1">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Como pressupostos ontológicos sobre a realidade social muito diferentes entre si, os fundadores do pensamento sociológico, Durkheim, Marx e Weber advertiram para a necessidade de ultrapassar as pré-noções, descobrir sob as aparências a existência concreta e contentar em apreender apenas parte dessa realidade. Bourdieu expressou essa convergência em A profissão do sociólogo,  por meio do que denominou como rupturas do senso comum. </w:t>
      </w:r>
    </w:p>
  </w:footnote>
  <w:footnote w:id="2">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Tal posição das contribuições antropológicas recentes que incorporaram o diálogo entre reflexividade do próprio pensamento antropológico e o pensamento de seus interlocutores, resultante, entre coisas, da crítica pós-colonial.  Fonte diferente da nota acima.</w:t>
      </w:r>
    </w:p>
  </w:footnote>
  <w:footnote w:id="3">
    <w:p w:rsidR="00000000" w:rsidDel="00000000" w:rsidP="00000000" w:rsidRDefault="00000000" w:rsidRPr="00000000" w14:paraId="00000061">
      <w:pPr>
        <w:widowControl w:val="0"/>
        <w:spacing w:after="40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O programa Observatório da Educação atua na pós-graduação – mestrado e doutorado. Lançada em 2006, a iniciativa apóia projetos de pesquisa que usem como base os bancos de dados do Inep, entre eles o Censo Escolar e o Sistema de Avaliação da Educação Básica (Saeb), entre outros. A intenção é estimular estudos sobre temas como a avaliação educacional, fluxo escolar, educação e mercado de trabalho, financiamento da educação e educação e demografia, para estimular a formação de mestres e doutores que atuem nas áreas de gestão de políticas educacionais, avaliação educacional e formação de professores” (</w:t>
      </w:r>
      <w:hyperlink r:id="rId1">
        <w:r w:rsidDel="00000000" w:rsidR="00000000" w:rsidRPr="00000000">
          <w:rPr>
            <w:rFonts w:ascii="Times New Roman" w:cs="Times New Roman" w:eastAsia="Times New Roman" w:hAnsi="Times New Roman"/>
            <w:color w:val="0000ff"/>
            <w:sz w:val="20"/>
            <w:szCs w:val="20"/>
            <w:u w:val="single"/>
            <w:rtl w:val="0"/>
          </w:rPr>
          <w:t xml:space="preserve">http://portal.mec.gov.br/index.php/?id=12309&amp;option=com_content&amp;view=article</w:t>
        </w:r>
      </w:hyperlink>
      <w:r w:rsidDel="00000000" w:rsidR="00000000" w:rsidRPr="00000000">
        <w:rPr>
          <w:rFonts w:ascii="Times New Roman" w:cs="Times New Roman" w:eastAsia="Times New Roman" w:hAnsi="Times New Roman"/>
          <w:sz w:val="20"/>
          <w:szCs w:val="20"/>
          <w:rtl w:val="0"/>
        </w:rPr>
        <w:t xml:space="preserve">, acesso em 25/02/2014)</w:t>
      </w:r>
    </w:p>
  </w:footnote>
  <w:footnote w:id="4">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 o Colégio Estadual Ipê Roxo, os indicadores observados pelo IDEB, da 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ano foi de 2,7 em 2005, 2,9 em 2007 e 3,4 em 2009. Em 2013, o país ultrapassou em 0,3 pontos as metas previstas para os anos iniciais (1.º ao 5.º ano) do ensino fundamental. O IDEB nacional nessa etapa ficou em 5,2, enquanto em 2011 havia sido de 5,0. Nos anos finais (6.º ao 9.º ano) do ensino fundamental, o IDEB nacional cresceu de 4,1 em 2011 para 4,2 em 2013. No ensino médio se manteve em 3,7. (Disponível em http://portal.inep.gov.br Acesso em 22 set. 2014)</w:t>
      </w:r>
      <w:r w:rsidDel="00000000" w:rsidR="00000000" w:rsidRPr="00000000">
        <w:rPr>
          <w:rtl w:val="0"/>
        </w:rPr>
      </w:r>
    </w:p>
  </w:footnote>
  <w:footnote w:id="5">
    <w:p w:rsidR="00000000" w:rsidDel="00000000" w:rsidP="00000000" w:rsidRDefault="00000000" w:rsidRPr="00000000" w14:paraId="00000063">
      <w:pPr>
        <w:widowControl w:val="0"/>
        <w:spacing w:after="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Desenvolvido por professores do Mestrado em Sociedade Cultura e Fronteiras, do Cursos de Letras da UNIOESTE/Foz do Iguaçu e o Núcleo Regional de Educação de Foz do Iguaçu/SEED, nosso projeto busca integrar pesquisa/ensino e extensão, oferecendo minicursos e organizando grupos de estudos, paralelamente às atividades de pesquisa. A equipe de pesquisa envolve professores da Colégio Ipê Roxo e professores, estudantes de graduação e pós-graduação da UNIOESTE. </w:t>
      </w:r>
    </w:p>
  </w:footnote>
  <w:footnote w:id="6">
    <w:p w:rsidR="00000000" w:rsidDel="00000000" w:rsidP="00000000" w:rsidRDefault="00000000" w:rsidRPr="00000000" w14:paraId="00000064">
      <w:pPr>
        <w:spacing w:after="2" w:before="2" w:lineRule="auto"/>
        <w:jc w:val="both"/>
        <w:rPr>
          <w:rFonts w:ascii="Times New Roman" w:cs="Times New Roman" w:eastAsia="Times New Roman" w:hAnsi="Times New Roman"/>
          <w:sz w:val="22"/>
          <w:szCs w:val="22"/>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Tais políticas estão inseridas no essencial de uma política macroeconômica que visa à ampliação de políticas direcionadas à grande parte da população que vivia abaixo da linha da pobreza ou em um nível elementar de sobrevivência e consumo. Trata-se não apenas da realização de políticas compensatórias e de baixa distribuição de renda, como é o Programa Bolsa Família, ou das políticas de descriminação positiva, mas do acesso diferenciado e intenso ao crédito para a casa própria e a bens de consumo, a programas de acesso à energia etc. </w:t>
      </w:r>
      <w:r w:rsidDel="00000000" w:rsidR="00000000" w:rsidRPr="00000000">
        <w:rPr>
          <w:rtl w:val="0"/>
        </w:rPr>
      </w:r>
    </w:p>
  </w:footnote>
  <w:footnote w:id="7">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Há muitos programas desenvolvidos no Colégio, coordenados por organizações não governamentais, por instituições públicas e privadas como o Mais Educação, de ampliação da jornada escolar, o Bolsa Família, de transferência de renda vinculado à freqüência escolar, o programa FICA (ficha de comunicação de aluno ausente), para disciplinar a freqüência dos alunos para evitar evasão e o programa Leite das Crianças, de distribuição gratuita feita na escola. </w:t>
      </w:r>
      <w:r w:rsidDel="00000000" w:rsidR="00000000" w:rsidRPr="00000000">
        <w:rPr>
          <w:rtl w:val="0"/>
        </w:rPr>
      </w:r>
    </w:p>
  </w:footnote>
  <w:footnote w:id="8">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http://www.foziperoxo.seed.pr.gov.br/modules/conteudo/conteudo.php?conteudo=1</w:t>
      </w:r>
    </w:p>
  </w:footnote>
  <w:footnote w:id="9">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São pessoas que “passam” mercadorias ligados à intensa atividade do comércio na fronteira do Paraguai com o Brasil (Cardin, 2011).</w:t>
      </w:r>
      <w:r w:rsidDel="00000000" w:rsidR="00000000" w:rsidRPr="00000000">
        <w:rPr>
          <w:rtl w:val="0"/>
        </w:rPr>
      </w:r>
    </w:p>
  </w:footnote>
  <w:footnote w:id="10">
    <w:p w:rsidR="00000000" w:rsidDel="00000000" w:rsidP="00000000" w:rsidRDefault="00000000" w:rsidRPr="00000000" w14:paraId="00000068">
      <w:pPr>
        <w:widowControl w:val="0"/>
        <w:spacing w:after="263"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Categoria que identifica brasileiros residentes no Paraguai, com diferentes sentidos “ao longo das duas últimas décadas, funcionando como uma identificação ambígua, situacional e negociada conforme os interesses que necessitavam ser explicitados ou ocultados” (Albuquerque, 2009, p.154).</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ootnote>
  <w:footnote w:id="11">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Os resultados observados do IDEB para o Colégio da 8a série e 9o ano foram 3,4 para 2009, 3,4 para 2011 e 3, 7 para 2013, índices baixos mas acima das metas projetadas. Disponível em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http://sistemasideb.inep.gov.br/resultado/</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em 08/05/2015.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pt-BR"/>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276" w:lineRule="auto"/>
      <w:ind w:right="57" w:firstLine="709"/>
      <w:jc w:val="both"/>
    </w:pPr>
    <w:rPr>
      <w:b w:val="1"/>
      <w:i w:val="1"/>
      <w:color w:val="000000"/>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portal.mec.gov.br/index.php/?id=12309&amp;option=com_content&amp;view=article" TargetMode="External"/><Relationship Id="rId10" Type="http://schemas.openxmlformats.org/officeDocument/2006/relationships/hyperlink" Target="http://portal.mec.gov.br/index.php/?id=12309&amp;option=com_content&amp;view=article" TargetMode="External"/><Relationship Id="rId13" Type="http://schemas.openxmlformats.org/officeDocument/2006/relationships/header" Target="header1.xml"/><Relationship Id="rId12" Type="http://schemas.openxmlformats.org/officeDocument/2006/relationships/hyperlink" Target="http://www.foziperoxo.seed.pr.gov.br/modules/conteudo/conteudo.php?conteudo=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rendip.brynmawr.edu/sci_cult/culturedisability.html" TargetMode="External"/><Relationship Id="rId1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www.scielo.br/scielo.php?script=sci_arttext&amp;pid=S010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rtal.mec.gov.br/index.php/?id=12309&amp;option=com_content&amp;view=article" TargetMode="External"/><Relationship Id="rId2" Type="http://schemas.openxmlformats.org/officeDocument/2006/relationships/hyperlink" Target="http://sistemasideb.inep.gov.br/result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