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0</wp:posOffset>
                </wp:positionV>
                <wp:extent cx="5981700" cy="571500"/>
                <wp:effectExtent b="0" l="0" r="0" t="0"/>
                <wp:wrapNone/>
                <wp:docPr id="1" name=""/>
                <a:graphic>
                  <a:graphicData uri="http://schemas.microsoft.com/office/word/2010/wordprocessingGroup">
                    <wpg:wgp>
                      <wpg:cNvGrpSpPr/>
                      <wpg:grpSpPr>
                        <a:xfrm>
                          <a:off x="2352610" y="3489805"/>
                          <a:ext cx="5981700" cy="571500"/>
                          <a:chOff x="2352610" y="3489805"/>
                          <a:chExt cx="5986780" cy="580390"/>
                        </a:xfrm>
                      </wpg:grpSpPr>
                      <wpg:grpSp>
                        <wpg:cNvGrpSpPr/>
                        <wpg:grpSpPr>
                          <a:xfrm>
                            <a:off x="2352610" y="3489805"/>
                            <a:ext cx="5986780" cy="580390"/>
                            <a:chOff x="0" y="0"/>
                            <a:chExt cx="5986863" cy="580390"/>
                          </a:xfrm>
                        </wpg:grpSpPr>
                        <wps:wsp>
                          <wps:cNvSpPr/>
                          <wps:cNvPr id="3" name="Shape 3"/>
                          <wps:spPr>
                            <a:xfrm>
                              <a:off x="0" y="0"/>
                              <a:ext cx="5986850" cy="580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288112" y="79513"/>
                              <a:ext cx="389614" cy="437322"/>
                            </a:xfrm>
                            <a:prstGeom prst="rect">
                              <a:avLst/>
                            </a:prstGeom>
                            <a:noFill/>
                            <a:ln>
                              <a:noFill/>
                            </a:ln>
                          </wps:spPr>
                          <wps:bodyPr anchorCtr="0" anchor="ctr" bIns="91425" lIns="91425" spcFirstLastPara="1" rIns="91425" wrap="square" tIns="91425">
                            <a:noAutofit/>
                          </wps:bodyPr>
                        </wps:wsp>
                        <wps:wsp>
                          <wps:cNvSpPr/>
                          <wps:cNvPr id="5" name="Shape 5"/>
                          <wps:spPr>
                            <a:xfrm>
                              <a:off x="0" y="238539"/>
                              <a:ext cx="898498" cy="318052"/>
                            </a:xfrm>
                            <a:prstGeom prst="rect">
                              <a:avLst/>
                            </a:prstGeom>
                            <a:noFill/>
                            <a:ln>
                              <a:noFill/>
                            </a:ln>
                          </wps:spPr>
                          <wps:bodyPr anchorCtr="0" anchor="ctr" bIns="91425" lIns="91425" spcFirstLastPara="1" rIns="91425" wrap="square" tIns="91425">
                            <a:noAutofit/>
                          </wps:bodyPr>
                        </wps:wsp>
                        <wpg:grpSp>
                          <wpg:cNvGrpSpPr/>
                          <wpg:grpSpPr>
                            <a:xfrm>
                              <a:off x="2043486" y="119269"/>
                              <a:ext cx="1939925" cy="436880"/>
                              <a:chOff x="0" y="0"/>
                              <a:chExt cx="1940118" cy="437321"/>
                            </a:xfrm>
                          </wpg:grpSpPr>
                          <wps:wsp>
                            <wps:cNvSpPr/>
                            <wps:cNvPr id="7" name="Shape 7"/>
                            <wps:spPr>
                              <a:xfrm>
                                <a:off x="0" y="166977"/>
                                <a:ext cx="1940118" cy="270344"/>
                              </a:xfrm>
                              <a:prstGeom prst="rect">
                                <a:avLst/>
                              </a:prstGeom>
                              <a:noFill/>
                              <a:ln>
                                <a:noFill/>
                              </a:ln>
                            </wps:spPr>
                            <wps:bodyPr anchorCtr="0" anchor="ctr" bIns="91425" lIns="91425" spcFirstLastPara="1" rIns="91425" wrap="square" tIns="91425">
                              <a:noAutofit/>
                            </wps:bodyPr>
                          </wps:wsp>
                          <wps:wsp>
                            <wps:cNvSpPr/>
                            <wps:cNvPr id="8" name="Shape 8"/>
                            <wps:spPr>
                              <a:xfrm>
                                <a:off x="636105" y="0"/>
                                <a:ext cx="397565" cy="270344"/>
                              </a:xfrm>
                              <a:prstGeom prst="rect">
                                <a:avLst/>
                              </a:prstGeom>
                              <a:noFill/>
                              <a:ln>
                                <a:noFill/>
                              </a:ln>
                            </wps:spPr>
                            <wps:bodyPr anchorCtr="0" anchor="ctr" bIns="91425" lIns="91425" spcFirstLastPara="1" rIns="91425" wrap="square" tIns="91425">
                              <a:noAutofit/>
                            </wps:bodyPr>
                          </wps:wsp>
                        </wpg:grpSp>
                        <wpg:grpSp>
                          <wpg:cNvGrpSpPr/>
                          <wpg:grpSpPr>
                            <a:xfrm>
                              <a:off x="3888188" y="0"/>
                              <a:ext cx="2098675" cy="580390"/>
                              <a:chOff x="0" y="0"/>
                              <a:chExt cx="2098675" cy="580390"/>
                            </a:xfrm>
                          </wpg:grpSpPr>
                          <wps:wsp>
                            <wps:cNvSpPr/>
                            <wps:cNvPr id="10" name="Shape 10"/>
                            <wps:spPr>
                              <a:xfrm>
                                <a:off x="834887" y="0"/>
                                <a:ext cx="302149" cy="405517"/>
                              </a:xfrm>
                              <a:prstGeom prst="rect">
                                <a:avLst/>
                              </a:prstGeom>
                              <a:noFill/>
                              <a:ln>
                                <a:noFill/>
                              </a:ln>
                            </wps:spPr>
                            <wps:bodyPr anchorCtr="0" anchor="ctr" bIns="91425" lIns="91425" spcFirstLastPara="1" rIns="91425" wrap="square" tIns="91425">
                              <a:noAutofit/>
                            </wps:bodyPr>
                          </wps:wsp>
                          <wps:wsp>
                            <wps:cNvSpPr/>
                            <wps:cNvPr id="11" name="Shape 11"/>
                            <wps:spPr>
                              <a:xfrm>
                                <a:off x="0" y="365760"/>
                                <a:ext cx="2098675" cy="21463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460c02"/>
                                      <w:sz w:val="16"/>
                                      <w:vertAlign w:val="baseline"/>
                                    </w:rPr>
                                    <w:t xml:space="preserve">UNIVERSIDAD NACIONAL DE ITAPUA</w:t>
                                  </w:r>
                                </w:p>
                              </w:txbxContent>
                            </wps:txbx>
                            <wps:bodyPr anchorCtr="0" anchor="t" bIns="45700" lIns="91425" spcFirstLastPara="1" rIns="91425" wrap="square" tIns="4570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0</wp:posOffset>
                </wp:positionV>
                <wp:extent cx="5981700" cy="5715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981700" cy="571500"/>
                        </a:xfrm>
                        <a:prstGeom prst="rect"/>
                        <a:ln/>
                      </pic:spPr>
                    </pic:pic>
                  </a:graphicData>
                </a:graphic>
              </wp:anchor>
            </w:drawing>
          </mc:Fallback>
        </mc:AlternateContent>
      </w:r>
    </w:p>
    <w:p w:rsidR="00000000" w:rsidDel="00000000" w:rsidP="00000000" w:rsidRDefault="00000000" w:rsidRPr="00000000" w14:paraId="00000002">
      <w:pPr>
        <w:jc w:val="center"/>
        <w:rPr>
          <w:b w:val="1"/>
          <w:sz w:val="28"/>
          <w:szCs w:val="28"/>
        </w:rPr>
      </w:pPr>
      <w:r w:rsidDel="00000000" w:rsidR="00000000" w:rsidRPr="00000000">
        <w:rPr>
          <w:rtl w:val="0"/>
        </w:rPr>
      </w:r>
    </w:p>
    <w:p w:rsidR="00000000" w:rsidDel="00000000" w:rsidP="00000000" w:rsidRDefault="00000000" w:rsidRPr="00000000" w14:paraId="00000003">
      <w:pPr>
        <w:spacing w:after="120" w:lineRule="auto"/>
        <w:jc w:val="center"/>
        <w:rPr>
          <w:b w:val="1"/>
        </w:rPr>
      </w:pPr>
      <w:r w:rsidDel="00000000" w:rsidR="00000000" w:rsidRPr="00000000">
        <w:rPr>
          <w:rtl w:val="0"/>
        </w:rPr>
      </w:r>
    </w:p>
    <w:p w:rsidR="00000000" w:rsidDel="00000000" w:rsidP="00000000" w:rsidRDefault="00000000" w:rsidRPr="00000000" w14:paraId="00000004">
      <w:pPr>
        <w:spacing w:after="120" w:before="120" w:lineRule="auto"/>
        <w:jc w:val="center"/>
        <w:rPr>
          <w:b w:val="1"/>
        </w:rPr>
      </w:pPr>
      <w:r w:rsidDel="00000000" w:rsidR="00000000" w:rsidRPr="00000000">
        <w:rPr>
          <w:b w:val="1"/>
          <w:rtl w:val="0"/>
        </w:rPr>
        <w:t xml:space="preserve">III SEMINARIO INTERNACIONAL DE LOS ESPACIOS DE FRONTERA (III GEOFRONTERA)</w:t>
      </w:r>
    </w:p>
    <w:p w:rsidR="00000000" w:rsidDel="00000000" w:rsidP="00000000" w:rsidRDefault="00000000" w:rsidRPr="00000000" w14:paraId="00000005">
      <w:pPr>
        <w:pStyle w:val="Heading1"/>
        <w:shd w:fill="fbd4b4" w:val="clear"/>
        <w:spacing w:after="120" w:before="120" w:lineRule="auto"/>
        <w:jc w:val="center"/>
        <w:rPr>
          <w:rFonts w:ascii="Cantata One" w:cs="Cantata One" w:eastAsia="Cantata One" w:hAnsi="Cantata One"/>
          <w:i w:val="1"/>
          <w:color w:val="000000"/>
          <w:sz w:val="32"/>
          <w:szCs w:val="32"/>
        </w:rPr>
      </w:pPr>
      <w:r w:rsidDel="00000000" w:rsidR="00000000" w:rsidRPr="00000000">
        <w:rPr>
          <w:rFonts w:ascii="Cantata One" w:cs="Cantata One" w:eastAsia="Cantata One" w:hAnsi="Cantata One"/>
          <w:i w:val="1"/>
          <w:color w:val="000000"/>
          <w:sz w:val="32"/>
          <w:szCs w:val="32"/>
          <w:rtl w:val="0"/>
        </w:rPr>
        <w:t xml:space="preserve">Integración: Cooperación y Conflictos  </w:t>
      </w:r>
    </w:p>
    <w:p w:rsidR="00000000" w:rsidDel="00000000" w:rsidP="00000000" w:rsidRDefault="00000000" w:rsidRPr="00000000" w14:paraId="00000006">
      <w:pPr>
        <w:pStyle w:val="Heading1"/>
        <w:spacing w:after="120" w:before="12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III SEMINÁRIO INTERNACIONAL DOS ESPAÇOS DE FRONTEIRA (III GEOFRONTEIRA)</w:t>
      </w:r>
    </w:p>
    <w:p w:rsidR="00000000" w:rsidDel="00000000" w:rsidP="00000000" w:rsidRDefault="00000000" w:rsidRPr="00000000" w14:paraId="00000007">
      <w:pPr>
        <w:pStyle w:val="Heading1"/>
        <w:shd w:fill="fbd4b4" w:val="clear"/>
        <w:spacing w:after="120" w:before="120" w:lineRule="auto"/>
        <w:jc w:val="center"/>
        <w:rPr>
          <w:rFonts w:ascii="Cantata One" w:cs="Cantata One" w:eastAsia="Cantata One" w:hAnsi="Cantata One"/>
          <w:i w:val="1"/>
          <w:color w:val="000000"/>
          <w:sz w:val="32"/>
          <w:szCs w:val="32"/>
        </w:rPr>
      </w:pPr>
      <w:r w:rsidDel="00000000" w:rsidR="00000000" w:rsidRPr="00000000">
        <w:rPr>
          <w:rFonts w:ascii="Cantata One" w:cs="Cantata One" w:eastAsia="Cantata One" w:hAnsi="Cantata One"/>
          <w:i w:val="1"/>
          <w:color w:val="000000"/>
          <w:sz w:val="32"/>
          <w:szCs w:val="32"/>
          <w:rtl w:val="0"/>
        </w:rPr>
        <w:t xml:space="preserve">Integração: Cooperação e Conflito</w:t>
      </w:r>
    </w:p>
    <w:p w:rsidR="00000000" w:rsidDel="00000000" w:rsidP="00000000" w:rsidRDefault="00000000" w:rsidRPr="00000000" w14:paraId="00000008">
      <w:pPr>
        <w:spacing w:before="240" w:lineRule="auto"/>
        <w:jc w:val="center"/>
        <w:rPr/>
      </w:pPr>
      <w:r w:rsidDel="00000000" w:rsidR="00000000" w:rsidRPr="00000000">
        <w:rPr>
          <w:sz w:val="22"/>
          <w:szCs w:val="22"/>
          <w:u w:val="single"/>
          <w:rtl w:val="0"/>
        </w:rPr>
        <w:t xml:space="preserve">1 – Frontera y Educación / Fronteira e Educação</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spacing w:line="36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 FORMAÇÃO PARA O EMPREGO E AS QUALIFICAÇÕES PROFISSIONAIS NA UNIÃO EUROPÉIA</w:t>
      </w:r>
    </w:p>
    <w:p w:rsidR="00000000" w:rsidDel="00000000" w:rsidP="00000000" w:rsidRDefault="00000000" w:rsidRPr="00000000" w14:paraId="0000000B">
      <w:pPr>
        <w:spacing w:line="480" w:lineRule="auto"/>
        <w:jc w:val="right"/>
        <w:rPr>
          <w:rFonts w:ascii="Arial" w:cs="Arial" w:eastAsia="Arial" w:hAnsi="Arial"/>
          <w:b w:val="1"/>
          <w:sz w:val="22"/>
          <w:szCs w:val="22"/>
        </w:rPr>
      </w:pPr>
      <w:bookmarkStart w:colFirst="0" w:colLast="0" w:name="_gjdgxs" w:id="0"/>
      <w:bookmarkEnd w:id="0"/>
      <w:r w:rsidDel="00000000" w:rsidR="00000000" w:rsidRPr="00000000">
        <w:rPr>
          <w:rFonts w:ascii="Arial" w:cs="Arial" w:eastAsia="Arial" w:hAnsi="Arial"/>
          <w:b w:val="1"/>
          <w:sz w:val="22"/>
          <w:szCs w:val="22"/>
          <w:rtl w:val="0"/>
        </w:rPr>
        <w:t xml:space="preserve">Adriana Hartemink Cantini</w:t>
      </w:r>
    </w:p>
    <w:p w:rsidR="00000000" w:rsidDel="00000000" w:rsidP="00000000" w:rsidRDefault="00000000" w:rsidRPr="00000000" w14:paraId="0000000C">
      <w:pPr>
        <w:jc w:val="righ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Universidade Federal do Pampa – UNIPAMPA</w:t>
      </w:r>
    </w:p>
    <w:p w:rsidR="00000000" w:rsidDel="00000000" w:rsidP="00000000" w:rsidRDefault="00000000" w:rsidRPr="00000000" w14:paraId="0000000D">
      <w:pPr>
        <w:jc w:val="right"/>
        <w:rPr>
          <w:rFonts w:ascii="Arial" w:cs="Arial" w:eastAsia="Arial" w:hAnsi="Arial"/>
          <w:b w:val="1"/>
          <w:i w:val="1"/>
          <w:sz w:val="22"/>
          <w:szCs w:val="22"/>
          <w:u w:val="single"/>
        </w:rPr>
      </w:pPr>
      <w:r w:rsidDel="00000000" w:rsidR="00000000" w:rsidRPr="00000000">
        <w:rPr>
          <w:rFonts w:ascii="Arial" w:cs="Arial" w:eastAsia="Arial" w:hAnsi="Arial"/>
          <w:b w:val="1"/>
          <w:sz w:val="22"/>
          <w:szCs w:val="22"/>
          <w:rtl w:val="0"/>
        </w:rPr>
        <w:t xml:space="preserve">adrianacantini@unipampa.edu.br</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283"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Considerando o contexto da aprendizagem ao longo da vida como a diretriz orientadora das políticas públicas de emprego na União Europeia, este trabalho tem por objetivo demonstrar como ocorre a implementação destas políticas em um bloco econômico regional onde os Estados abrem mão das suas supremacias e legislam em conjunto com foco ao mercado comum. Com o método de abordagem histórico dedudivo, realizou-se uma pesquisa documental para conhecer o processo que resultou em documentos legislativos, a criação de redes, instituições e órgãos para implantar o sistema de convalidação das aprendizagens. Atualmente os sistemas construídos refletem a criação do Marco Europeu de Qualificações para a Aprendizagem Permanente (EQF), do Sistema Europeu de Créditos do Ensino e da Formação Profissional (ECVET) e do Quadro de Referência Europeu de Garantia da Qualidade (QREGQ), servem de norte para a elaboração das legislações nacionais de formação para o emprego e das políticas públicas nos Estados integrantes do bloco.</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autora é professora adjunta e coordenadora da Especialização em Serviço Social e Direitos Humanos da Unipampa, São Borja (RS/Brasil). Doutora em Direito pela USAL (Universidade de Salamanca) Espanha, Mestra em Educação pela PUCRS (Pontifícia Universidade Católica do Rio Grande do Sul), Especialista em Formação de Professores em Direito e Legislação e em Metodologia do Ensino Superior e Advogada.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 Aprendizagem e a Formação Profissional no Sistema Europeu</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 processo de desenvolvimento do ensino e da formação profissional ocorreu de maneira semelhante em vários países da Europa. Na primeira metade do século XX tinham se desenvolvido três modelos básicos de educação e formação profissional. Para WOLF-DIETRICH GREINERT</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 primeiro era o do mercado liberal, da Grã-Bretanha; o segundo regulamentado pelo Estado na França e o terceiro o dual empresarial da Alemanha. O modelo liberal era negociado entre representantes dos trabalhadores, gestores e centros de formação profissional, podendo acontecer em locais variados. O conteúdo dos programas variava conforme as necessidades do mercado e na maioria das vezes os empregados pagavam seus cursos, salvo quando as empresas os ministravam. Não havia supervisão da formação ou exames para verificar a aprendizagem. O segundo modelo era determinado pelo Estado e se desenvolvia nas escolas especializadas - escolas de produção. O conteúdo era definido pelo Estado em conjunto com os parceiros sociais (empresários e trabalhadores), mas, não refletia a prática nas empresas, já que contemplava uma visão mais teórica e geral. O Estado impunha determinado tributo às empresas e financiava o ensino profissional determinando a quantidade de vagas nos cursos. Os certificados de formação expedidos por ele permitiam acesso a níveis mais elevados de ensino. Já o terceiro modelo presente na Alemanha, tinha sua organização determinada pelas Câmaras de Comércio que eram regulamentadas pelo Estado e agrupadas por profissão. Os locais de formação poderiam ser alternados entre as empresas e as escolas profissionais, por isso, modelo dual. Os conteúdos de ensino eram determinados pelos empresários, sindicatos e Estado e se as empresas financiassem os estudos, poderiam deduzir os custos nos impostos a pagar. As qualificações autorizavam os formandos a trabalharem nas profissões escolhidas e acessar níveis de maior especialização.</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Com o desenvolvimento do processo de industrialização, diferente em ritmo e qualidade nos Estados os sistemas se diversificaram e as semelhanças diminuíram. A preocupação expressa nos Tratados e Documentos da então Comunidade Europeia que havia sido sempre a lógica econômica foi direcionada para o campo sócio laboral buscando alternativas de formação profissional para enfrentar os desafios impostos pela unificação dos Estados e pela globalização. Esta preocupação expressa no Tratado de Roma de (1957) que instituiu a Comunidade Econômica Europeia, trouxe a previsão de elaboração pelo Conselho de Ministros de um conjunto de princípios gerais para a execução de uma política comum de formação profissional que contribuísse para o desenvolvimento harmonioso das economias nacionais dos países e do mercado comum. Embora seu texto quase ignorasse os aspectos sociais, referia-se expressamente à formação profissional no setor agrícola, através da realização de uma Política Agrícola Comum (PAC). Mencionava a necessidade de criar uma situação social harmoniosa e uma política conjunta de emprego nos Estados, trazendo uma série de Declarações de intenções sobre a “melhoria das condições de vida e trabalho e da mão de obra permitindo sua igualização no progresso” (art.117). Os chefes de Estado começaram a perceber que as iniciativas conjuntas de formação profissional facilitariam a mobilidade dos trabalhadores no âmbito europeu e o intercâmbio de jovens, </w:t>
      </w:r>
    </w:p>
    <w:p w:rsidR="00000000" w:rsidDel="00000000" w:rsidP="00000000" w:rsidRDefault="00000000" w:rsidRPr="00000000" w14:paraId="00000014">
      <w:pPr>
        <w:ind w:left="226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Tratado (…) mencionó expresamente a la formación profesional en su art. 128, incluido dentro del Título III dedicado a las políticas sociales, y en concreto, en su Capítulo Segundo sobre el Fondo Social Europeo, que vino a atribuir a la Comisión europea la tarea de promover una colaboración estrecha entre los Estados miembros dentro de las políticas sociales, particularmente en la materia relativa a la formación y al perfeccionamiento profesionales, facultando al Consejo para fijar los principios de una política común en este ámbito específico, que pudiesen contribuir al desarrollo armonioso tanto de las economías nacionales como del mercado común. (CAMAS RODA, 2007,pp. 21-22).  </w:t>
      </w:r>
      <w:r w:rsidDel="00000000" w:rsidR="00000000" w:rsidRPr="00000000">
        <w:rPr>
          <w:rFonts w:ascii="Arial" w:cs="Arial" w:eastAsia="Arial" w:hAnsi="Arial"/>
          <w:b w:val="1"/>
          <w:sz w:val="20"/>
          <w:szCs w:val="20"/>
          <w:rtl w:val="0"/>
        </w:rPr>
        <w:t xml:space="preserve"> </w:t>
      </w:r>
      <w:r w:rsidDel="00000000" w:rsidR="00000000" w:rsidRPr="00000000">
        <w:rPr>
          <w:rtl w:val="0"/>
        </w:rPr>
      </w:r>
    </w:p>
    <w:p w:rsidR="00000000" w:rsidDel="00000000" w:rsidP="00000000" w:rsidRDefault="00000000" w:rsidRPr="00000000" w14:paraId="00000015">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Em 1975 foi criado o Centro Europeu de Investigação e Documentação sobre o Ensino e Formação Profissional (CEDEFOP) para pesquisar e apoiar uma política de educação profissional para a Europa. Inicialmente, os Estados temiam que essa nova política pudesse impor um modelo único de formação extinguindo as que estavam dando certo em alguns locais. Mas, a necessidade de investigar para introduzir melhorias no sistema de ensino profissional, fez com que, em muitos, fossem também criadas instituições de pesquisa para compreender como se desenrolava o processo de educação e ensino para o trabalho.</w:t>
      </w:r>
    </w:p>
    <w:p w:rsidR="00000000" w:rsidDel="00000000" w:rsidP="00000000" w:rsidRDefault="00000000" w:rsidRPr="00000000" w14:paraId="00000016">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O CEDEFOP</w:t>
      </w:r>
      <w:r w:rsidDel="00000000" w:rsidR="00000000" w:rsidRPr="00000000">
        <w:rPr>
          <w:rFonts w:ascii="Arial" w:cs="Arial" w:eastAsia="Arial" w:hAnsi="Arial"/>
          <w:sz w:val="22"/>
          <w:szCs w:val="22"/>
          <w:vertAlign w:val="superscript"/>
        </w:rPr>
        <w:footnoteReference w:customMarkFollows="0" w:id="1"/>
      </w:r>
      <w:r w:rsidDel="00000000" w:rsidR="00000000" w:rsidRPr="00000000">
        <w:rPr>
          <w:rFonts w:ascii="Arial" w:cs="Arial" w:eastAsia="Arial" w:hAnsi="Arial"/>
          <w:sz w:val="22"/>
          <w:szCs w:val="22"/>
          <w:rtl w:val="0"/>
        </w:rPr>
        <w:t xml:space="preserve"> com sede em Berlim tinha uma importante função: intermediar o processo de investigação realizado nos Estados e discutir a política do ensino e da formação profissional que estivesse relacionada com as mudanças sociais. Ainda hoje em funcionamento, compila a documentação e analisa os dados das políticas de formação profissional; contribui para o desenvolvimento e a coordenação da investigação; explora e divulga a informação e incentiva a adoção de abordagens conjuntas para a resolução dos problemas com o ensino e a formação profissional constituindo um fórum para debate e intercâmbio de ideias.</w:t>
      </w:r>
    </w:p>
    <w:p w:rsidR="00000000" w:rsidDel="00000000" w:rsidP="00000000" w:rsidRDefault="00000000" w:rsidRPr="00000000" w14:paraId="00000017">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Em 1976, depois de consultas às autoridades nacionais, sindicatos e associações profissionais, a Comissão definiu o conteúdo que deveria ter os princípios gerais para a execução de uma política de formação profissional previstos no art. 128 do Tratado de Roma. Esses viriam constituir os alicerces sobre os quais se construiria uma linha comum de ação para os países membros. O objetivo mais premente era estabelecer uma política social capaz de melhorar a situação dos trabalhadores, possibilitando sua participação efetiva no processo de integração Europeia. O contexto da Comunidade estava marcado por um déficit de trabalhadores e técnicos especializados e por elevadas taxas de desemprego em algumas regiões. Assim, os princípios, no entender da Comissão, deveriam servir não apenas como diretrizes, mas como regras vinculativas a serem seguidas pelos Estados na busca de resultados capazes de melhorar a situação dos trabalhadores na época.</w:t>
      </w:r>
    </w:p>
    <w:p w:rsidR="00000000" w:rsidDel="00000000" w:rsidP="00000000" w:rsidRDefault="00000000" w:rsidRPr="00000000" w14:paraId="00000018">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A tarefa da Comissão não era apenas consultiva, mas deliberativa de políticas comuns de formação profissional para os Estados podendo adotar qualquer iniciativa que estivesse associada a acompanhar, desenvolver e assegurar a coordenação e verificar os resultados dessas políticas. Estava previsto ainda, a realização de estudos de investigação para diagnosticar a situação em cada país e propor um conjunto de medidas adequadas a cada caso concreto. Previu-se a criação de um comitê consultivo em cada Estado, composto por um número igual de representantes das autoridades nacionais competentes, dos Sindicatos e das Associações patronais para apoiar o trabalho da Comissão.</w:t>
      </w:r>
    </w:p>
    <w:p w:rsidR="00000000" w:rsidDel="00000000" w:rsidP="00000000" w:rsidRDefault="00000000" w:rsidRPr="00000000" w14:paraId="00000019">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A interconexão entre a ação comunitária de uma educação geral com a educação para o trabalho ganhou força normativa com a Resolução do Conselho de Ministros de Educação de 09.02.1976</w:t>
      </w:r>
      <w:r w:rsidDel="00000000" w:rsidR="00000000" w:rsidRPr="00000000">
        <w:rPr>
          <w:rFonts w:ascii="Arial" w:cs="Arial" w:eastAsia="Arial" w:hAnsi="Arial"/>
          <w:sz w:val="22"/>
          <w:szCs w:val="22"/>
          <w:vertAlign w:val="superscript"/>
        </w:rPr>
        <w:footnoteReference w:customMarkFollows="0" w:id="2"/>
      </w:r>
      <w:r w:rsidDel="00000000" w:rsidR="00000000" w:rsidRPr="00000000">
        <w:rPr>
          <w:rFonts w:ascii="Arial" w:cs="Arial" w:eastAsia="Arial" w:hAnsi="Arial"/>
          <w:sz w:val="22"/>
          <w:szCs w:val="22"/>
          <w:rtl w:val="0"/>
        </w:rPr>
        <w:t xml:space="preserve">. Adotou-se um programa reconhecido pela Comunidade como fundador em matéria de cooperação e que mais tarde, foi desenvolvido e detalhado pelas Resoluções de 1979 e 1982 para potencializar a educação obrigatória fazendo com que, os Estados membros mantivessem, através de suas políticas, a preparação para a vida ou aprendizagem permanente, por meio dos processos educativos, aproximando os dois tipos de formação: a educação formal ou regrada da educação informal ou não regrada que se destinava a formação para o trabalho.</w:t>
      </w:r>
    </w:p>
    <w:p w:rsidR="00000000" w:rsidDel="00000000" w:rsidP="00000000" w:rsidRDefault="00000000" w:rsidRPr="00000000" w14:paraId="0000001A">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Para BURKARD SELLIN</w:t>
      </w:r>
      <w:r w:rsidDel="00000000" w:rsidR="00000000" w:rsidRPr="00000000">
        <w:rPr>
          <w:rFonts w:ascii="Arial" w:cs="Arial" w:eastAsia="Arial" w:hAnsi="Arial"/>
          <w:sz w:val="22"/>
          <w:szCs w:val="22"/>
          <w:vertAlign w:val="superscript"/>
        </w:rPr>
        <w:footnoteReference w:customMarkFollows="0" w:id="3"/>
      </w:r>
      <w:r w:rsidDel="00000000" w:rsidR="00000000" w:rsidRPr="00000000">
        <w:rPr>
          <w:rFonts w:ascii="Arial" w:cs="Arial" w:eastAsia="Arial" w:hAnsi="Arial"/>
          <w:sz w:val="22"/>
          <w:szCs w:val="22"/>
          <w:rtl w:val="0"/>
        </w:rPr>
        <w:t xml:space="preserve"> de um ponto de vista cronológico os programas de formação profissional na União Europeia começaram quase 20 anos depois do Tratado que criou a CE em 1957, mesmo que esse Documento tivesse uma base jurídica clara para tanto. Em 1963 houve a elaboração de princípios gerais para uma política comunitária de formação profissional através da Decisão do Conselho 63/266 da CEE, mas somente em 1974, foi possível perceber a colaboração dos Ministros do trabalho e assuntos sociais e da educação em temas educativos relacionados a quatro pontos fundamentais: a colaboração entre universidades no intercâmbio de estudantes; a igualdade de oportunidades entre homens e mulheres no âmbito da educação comunitária; o ensino direcionado a segunda geração de filhos de imigrantes e a transição dos jovens da escola para vida adulta e profissional.</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 facilitar o intercâmbio de informações entre os Ministérios de educação e trabalho, criou-se a EURYDICE, uma rede de informação sobre a educação na Europa. Ainda hoje em funcionamento, constitui desde 1980, um dos pilares estratégicos que facilita a cooperação e compreensão dos sistemas e das políticas educativas. Inclui atualmente 40 unidades nacionais sediadas nos 36 países e as informações fornecidas são essencialmente normativas e qualitativas, relativas a documentos oficiais, como leis, decretos, regulamentos e recomendações, que combinadas com outras fontes de dados, tais como os dados estatísticos do Eurostat (gabinete de estatísticas da UE) e os resultados de inquéritos internacionais sobre educação, produzem os relatórios finais.</w:t>
      </w:r>
    </w:p>
    <w:p w:rsidR="00000000" w:rsidDel="00000000" w:rsidP="00000000" w:rsidRDefault="00000000" w:rsidRPr="00000000" w14:paraId="0000001C">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Até meados dos anos 1980 criaram-se programas voltados para a formação profissional e intercâmbio de jovens. Dentre eles, pode-se citar o ERASMUS, existente até hoje com a finalidade de proporcionar a colaboração entre as universidades e empresas; o FORCE para promover as qualificações em novas tecnologias, considerando o desenvolvimento da sociedade da informação; o COMETT para fomentar a formação contínua dos trabalhadores nas empresas e o EUROTECNET, para impulsionar a igualdade de oportunidades das mulheres em formação profissional, além de outros destinados ao ensino de idiomas. Mesmo com objetivos aparentemente distintos, o ponto semelhante é facilitar o intercâmbio de técnicos e profissionais e a realização de estudos comparativos entre os países participantes e o incentivo à mobilidade coletiva.</w:t>
      </w:r>
    </w:p>
    <w:p w:rsidR="00000000" w:rsidDel="00000000" w:rsidP="00000000" w:rsidRDefault="00000000" w:rsidRPr="00000000" w14:paraId="0000001D">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Mais tarde, em 1995, após a ratificação do Tratado da União Europeia, o programa SÓCRATES, previsto no artigo 126</w:t>
      </w:r>
      <w:r w:rsidDel="00000000" w:rsidR="00000000" w:rsidRPr="00000000">
        <w:rPr>
          <w:rFonts w:ascii="Arial" w:cs="Arial" w:eastAsia="Arial" w:hAnsi="Arial"/>
          <w:sz w:val="22"/>
          <w:szCs w:val="22"/>
          <w:vertAlign w:val="superscript"/>
        </w:rPr>
        <w:footnoteReference w:customMarkFollows="0" w:id="4"/>
      </w:r>
      <w:r w:rsidDel="00000000" w:rsidR="00000000" w:rsidRPr="00000000">
        <w:rPr>
          <w:rFonts w:ascii="Arial" w:cs="Arial" w:eastAsia="Arial" w:hAnsi="Arial"/>
          <w:sz w:val="22"/>
          <w:szCs w:val="22"/>
          <w:rtl w:val="0"/>
        </w:rPr>
        <w:t xml:space="preserve"> e o LEONARDO DA VINCI, previsto no artigo 127 do Tratado</w:t>
      </w:r>
      <w:r w:rsidDel="00000000" w:rsidR="00000000" w:rsidRPr="00000000">
        <w:rPr>
          <w:rFonts w:ascii="Arial" w:cs="Arial" w:eastAsia="Arial" w:hAnsi="Arial"/>
          <w:sz w:val="22"/>
          <w:szCs w:val="22"/>
          <w:vertAlign w:val="superscript"/>
        </w:rPr>
        <w:footnoteReference w:customMarkFollows="0" w:id="5"/>
      </w:r>
      <w:r w:rsidDel="00000000" w:rsidR="00000000" w:rsidRPr="00000000">
        <w:rPr>
          <w:rFonts w:ascii="Arial" w:cs="Arial" w:eastAsia="Arial" w:hAnsi="Arial"/>
          <w:sz w:val="22"/>
          <w:szCs w:val="22"/>
          <w:rtl w:val="0"/>
        </w:rPr>
        <w:t xml:space="preserve">, foram implementados. Há de se observar, nas palavras do Tratado, em especial nos artigos em nota de rodapé grifados, que foi clara a intenção de respeitar as políticas e ações dos Estados membros no âmbito da educação profissional e a preocupação com ações de inserção profissional.</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 Tratado de Amsterdã (1997) acrescentou ao Documento que constituiu a União Européia um novo título denominado de “Emprego</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6"/>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proporcionando melhor coordenação das políticas nacionais e tornando o tema prioritário no bloco. O Conselho Europeu de Luxemburgo, (1997) lançou a Estratégia Européia de Emprego (EEE) - processo de Luxemburgo. A EEE é um programa anual com a finalidade fazer a planificação, acompanhamento, análise e adaptação das políticas empreendidas pelos Estados membros coordenando os instrumentos que utilizam no combate ao desemprego. Foi elaborada para incentivar o intercâmbio de informações e o debate entre os Estados buscando soluções sobre as melhores práticas para criar mais e melhores empregos no contexto da U.E.. Na prática, é um diálogo aberto e permanente entre Estados e Comissão Européia com alicerce instituído em Documentos, linhas de ação e Recomendações oficiais e a participação de Instituições como o Parlamento Europeu, o Comitê Econômico e Social e o Comitê das Regiões</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7"/>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F">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Esse Tratado avançou significativamente em matéria de emprego e políticas sociais, proporcionando uma base jurídica mais sólida para desenvolver uma estratégia coordenada de ação. Até então, os Estados membros detinham competência exclusiva na área de emprego, seguindo as orientações e sugestões da Comunidade Europeia. A partir do Documento de Amsterdã, foram obrigados a tornar suas políticas internas efetivas e sintonizadas com as amplas orientações da U.E., através da introdução de mecanismos de coordenação a nível comunitário e Planos Nacionais de Ação (PNA), que os Estados criaram e foram submetidos à apreciação pelos seus pares. Num primeiro momento, o processo pareceu bastante complexo, mas, pode-se dizer, amplamente democrático e coordenado, facilitando a convergência europeia para o emprego (URIARTE; GHIONE (Coord), 2000, p.24). O Tratado criou ainda o Comitê de Emprego, de natureza consultiva, destinado a promover a coordenação entre as políticas de emprego e do mercado de trabalho dos Estados. Em novembro de 1997 teve lugar em Luxemburgo uma reunião extraordinária do Conselho Europeu dedicada a discutir a questão do emprego, onde foram elaboradas também as Orientações Gerais para o Emprego (OGPE)</w:t>
      </w:r>
      <w:r w:rsidDel="00000000" w:rsidR="00000000" w:rsidRPr="00000000">
        <w:rPr>
          <w:rFonts w:ascii="Arial" w:cs="Arial" w:eastAsia="Arial" w:hAnsi="Arial"/>
          <w:sz w:val="22"/>
          <w:szCs w:val="22"/>
          <w:vertAlign w:val="superscript"/>
        </w:rPr>
        <w:footnoteReference w:customMarkFollows="0" w:id="8"/>
      </w:r>
      <w:r w:rsidDel="00000000" w:rsidR="00000000" w:rsidRPr="00000000">
        <w:rPr>
          <w:rFonts w:ascii="Arial" w:cs="Arial" w:eastAsia="Arial" w:hAnsi="Arial"/>
          <w:sz w:val="22"/>
          <w:szCs w:val="22"/>
          <w:rtl w:val="0"/>
        </w:rPr>
        <w:t xml:space="preserve">, dando início ao chamado Processo de Luxemburgo. A nova estratégia assentou em quatro pilares: melhorar a empregabilidade; desenvolver o espírito empresarial; encorajar a adaptabilidade das empresas e dos respectivos trabalhadores e reforçar as políticas destinadas à igualdade de oportunidades. </w:t>
      </w:r>
    </w:p>
    <w:p w:rsidR="00000000" w:rsidDel="00000000" w:rsidP="00000000" w:rsidRDefault="00000000" w:rsidRPr="00000000" w14:paraId="00000020">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A Estratégia de Lisboa (2000) trouxe um ousado ojetivo para a União Européia: transformá-la na economia mais competitiva do mundo e alcançar o pleno emprego até 2010. Vários Conselhos posteriores traçaram novas Diretrizes para isso, assentadas em três pilares: um </w:t>
      </w:r>
      <w:r w:rsidDel="00000000" w:rsidR="00000000" w:rsidRPr="00000000">
        <w:rPr>
          <w:rFonts w:ascii="Arial" w:cs="Arial" w:eastAsia="Arial" w:hAnsi="Arial"/>
          <w:sz w:val="22"/>
          <w:szCs w:val="22"/>
          <w:u w:val="single"/>
          <w:rtl w:val="0"/>
        </w:rPr>
        <w:t xml:space="preserve">econômico</w:t>
      </w:r>
      <w:r w:rsidDel="00000000" w:rsidR="00000000" w:rsidRPr="00000000">
        <w:rPr>
          <w:rFonts w:ascii="Arial" w:cs="Arial" w:eastAsia="Arial" w:hAnsi="Arial"/>
          <w:sz w:val="22"/>
          <w:szCs w:val="22"/>
          <w:rtl w:val="0"/>
        </w:rPr>
        <w:t xml:space="preserve"> para preparar a transição para uma economia competitiva, dinâmica e baseada no Conhecimento; um pilar </w:t>
      </w:r>
      <w:r w:rsidDel="00000000" w:rsidR="00000000" w:rsidRPr="00000000">
        <w:rPr>
          <w:rFonts w:ascii="Arial" w:cs="Arial" w:eastAsia="Arial" w:hAnsi="Arial"/>
          <w:sz w:val="22"/>
          <w:szCs w:val="22"/>
          <w:u w:val="single"/>
          <w:rtl w:val="0"/>
        </w:rPr>
        <w:t xml:space="preserve">social</w:t>
      </w:r>
      <w:r w:rsidDel="00000000" w:rsidR="00000000" w:rsidRPr="00000000">
        <w:rPr>
          <w:rFonts w:ascii="Arial" w:cs="Arial" w:eastAsia="Arial" w:hAnsi="Arial"/>
          <w:sz w:val="22"/>
          <w:szCs w:val="22"/>
          <w:rtl w:val="0"/>
        </w:rPr>
        <w:t xml:space="preserve"> para modernizar o modelo social europeu investindo nos recursos humanos e nas ações contra a exclusão social, na educação e na formação desenvolvendo uma política ativa de emprego e um pilar </w:t>
      </w:r>
      <w:r w:rsidDel="00000000" w:rsidR="00000000" w:rsidRPr="00000000">
        <w:rPr>
          <w:rFonts w:ascii="Arial" w:cs="Arial" w:eastAsia="Arial" w:hAnsi="Arial"/>
          <w:sz w:val="22"/>
          <w:szCs w:val="22"/>
          <w:u w:val="single"/>
          <w:rtl w:val="0"/>
        </w:rPr>
        <w:t xml:space="preserve">ambiental</w:t>
      </w:r>
      <w:r w:rsidDel="00000000" w:rsidR="00000000" w:rsidRPr="00000000">
        <w:rPr>
          <w:rFonts w:ascii="Arial" w:cs="Arial" w:eastAsia="Arial" w:hAnsi="Arial"/>
          <w:sz w:val="22"/>
          <w:szCs w:val="22"/>
          <w:rtl w:val="0"/>
        </w:rPr>
        <w:t xml:space="preserve">, que chama a atenção para a necessidade de dissociar o crescimento econômico da utilização dos recursos naturais.</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 atingir esses objetivos, foi adotado o Método Aberto de Coordenação (MAC), que consistia na elaboração de planos de reforma nacionais para identificar a implementação dessas Diretrizes em cada um dos Estados membros. O MAC interveio em certos domínios da competência dos Estados como o emprego, a proteção e a inclusão social, a educação, a juventude e a formação Este método intergovernamental, permitiu que os Estados fossem avaliados pelos outros Estados membros, competindo à Comissão uma função de vigilância. As avaliações foram baseadas nos parâmetros: definição de objetivos comuns adotados pelo Conselho; definição de aferição comuns, (estatísticas, indicadores, linhas diretrizes) e comparação dos desempenhos dos Estados membros e troca de boas práticas na área de educação e formação. O MAC foi criado no âmbito da política de emprego e definido como um instrumento da Estratégia de Lisboa</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9"/>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visando à convergência das políticas nacionais para a realização das intenções comuns da Comunidade. </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Declaração de Copenhague (2002) e o Comunicado de Maastricht (2004) reafirmaram o papel prioritário da educação e formação permanente para o trabalho. Cada Estado ficou também responsável pela organização dos seus sistemas de formação e a U.E. em contribuir para o desenvolvimento de uma educação que incentivasse a cooperação entre eles em uma dimensão comunitária.</w:t>
      </w:r>
    </w:p>
    <w:p w:rsidR="00000000" w:rsidDel="00000000" w:rsidP="00000000" w:rsidRDefault="00000000" w:rsidRPr="00000000" w14:paraId="00000023">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Cinco anos após o lançamento da Estratégia Européia de Emprego (EEE) em Lisboa, a Comissão relançou suas Orientações, devido aos resultados moderados conseguidos pelos Estados em matéria de emprego e inclusão social. Os objetivos quantitativos que haviam sido estabelecidos foram substituídos por ações a implementar tais como tornar a U.E. atrativa para os investidores e trabalhadores, desenvolvendo o mercado interno, melhorando as Regulamentações europeia e nacionais, garantindo mercados abertos e competitivos dentro e fora da Europa, alargando e desenvolvendo as infra-estruturas e encorajando o conhecimento e a inovação, melhorando o investimento na investigação e no desenvolvimento, facilitando a inovação e adoção das Tecnologias da Informação e da Comunicação (TIC) com utilização sustentável dos recursos, apoiados na criação de uma base industrial europeia sólida.</w:t>
      </w:r>
    </w:p>
    <w:p w:rsidR="00000000" w:rsidDel="00000000" w:rsidP="00000000" w:rsidRDefault="00000000" w:rsidRPr="00000000" w14:paraId="00000024">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A nova Estratégia se propôs a atrair mais pessoas para o mercado de trabalho modernizando a rede de proteção social. Os Estados e os parceiros sociais deveriam adotar políticas que incentivassem os trabalhadores a permanecer ativos por mais tempo. Adotou-se o Programa comunitário para a educação e a formação ao longo da vida, para simplificar o reconhecimento mútuo das qualificações profissionais, a mobilidade laboral, a educação e as competências. Nesse contexto, e preocupados com a melhor administração das mudanças, decidiram desburocratizar o MAC, que atrasava o progresso devido ao número excessivo de relatórios que os Estados tinham que apresentar. A Comissão propôs uma coordenação simplificada, reduzindo o número e a extensão dos relatórios, decidindo que os programas nacionais relativos à Estratégia de Lisboa fossem apresentados num formato que reunisse três processos de coordenação: as  políticas do mercado de emprego (processo de Luxemburgo); as reformas microeconômicas e estruturais (Processo de Cardiff) e as medidas macroeconómicas e orçamentárias (Processo de Colônia). Previu-se também, a apresentação de </w:t>
      </w:r>
      <w:hyperlink r:id="rId8">
        <w:r w:rsidDel="00000000" w:rsidR="00000000" w:rsidRPr="00000000">
          <w:rPr>
            <w:rFonts w:ascii="Arial" w:cs="Arial" w:eastAsia="Arial" w:hAnsi="Arial"/>
            <w:sz w:val="22"/>
            <w:szCs w:val="22"/>
            <w:rtl w:val="0"/>
          </w:rPr>
          <w:t xml:space="preserve">orientações integradas</w:t>
        </w:r>
      </w:hyperlink>
      <w:r w:rsidDel="00000000" w:rsidR="00000000" w:rsidRPr="00000000">
        <w:rPr>
          <w:rFonts w:ascii="Arial" w:cs="Arial" w:eastAsia="Arial" w:hAnsi="Arial"/>
          <w:sz w:val="22"/>
          <w:szCs w:val="22"/>
          <w:rtl w:val="0"/>
        </w:rPr>
        <w:t xml:space="preserve"> reunindo as Orientações para o Emprego e as Orientações Gerais da Política Econômica em um mesmo documento, que abrangessem as políticas macroeconômicas, o emprego e as reformas estruturais. O processo ficou mais simplificado.</w:t>
      </w:r>
    </w:p>
    <w:p w:rsidR="00000000" w:rsidDel="00000000" w:rsidP="00000000" w:rsidRDefault="00000000" w:rsidRPr="00000000" w14:paraId="00000025">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As bases jurídicas dessa linha diretriz já estavam contidas no art. 3º, do Tratado de Lisboa, referindo-se ao pleno emprego e progresso social, na Carta dos Direitos Fundamentais da União Européia, capítulo VIII que expressa a necessidade de contribuir para reforçar as políticas implementadas e na cláusula social, estabelecida no âmbito da Organização Internacional do Trabalho (OIT). PASTORE revela que algumas dessas ações já são consideradas unânimes no mundo do trabalho, </w:t>
      </w:r>
    </w:p>
    <w:p w:rsidR="00000000" w:rsidDel="00000000" w:rsidP="00000000" w:rsidRDefault="00000000" w:rsidRPr="00000000" w14:paraId="00000026">
      <w:pPr>
        <w:shd w:fill="ffffff" w:val="clear"/>
        <w:ind w:left="226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Os países da Europa tendem a incluir um grande número de itens nos seus Documentos. Os Estados Unidos são mais comedidos [...] A esta altura, porém, convém mencionar  mencionar a existência de um certo consenso quanto às seguintes normas: (1) proibição do trabalho forçado; (2) respeito à liberdade de se associar e negociar coletivamente; (3) garantia de proteção à saúde dos trabalhadores; (4) proibição de discriminações de várias naturezas ( cor , sexo , religião, etc).</w:t>
      </w:r>
      <w:r w:rsidDel="00000000" w:rsidR="00000000" w:rsidRPr="00000000">
        <w:rPr>
          <w:rFonts w:ascii="Arial" w:cs="Arial" w:eastAsia="Arial" w:hAnsi="Arial"/>
          <w:sz w:val="20"/>
          <w:szCs w:val="20"/>
          <w:vertAlign w:val="superscript"/>
          <w:rtl w:val="0"/>
        </w:rPr>
        <w:t xml:space="preserve"> </w:t>
      </w:r>
      <w:r w:rsidDel="00000000" w:rsidR="00000000" w:rsidRPr="00000000">
        <w:rPr>
          <w:rFonts w:ascii="Arial" w:cs="Arial" w:eastAsia="Arial" w:hAnsi="Arial"/>
          <w:sz w:val="20"/>
          <w:szCs w:val="20"/>
          <w:rtl w:val="0"/>
        </w:rPr>
        <w:t xml:space="preserve">(PASTORE, 1997, p.11).</w:t>
      </w:r>
    </w:p>
    <w:p w:rsidR="00000000" w:rsidDel="00000000" w:rsidP="00000000" w:rsidRDefault="00000000" w:rsidRPr="00000000" w14:paraId="00000027">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Dessa forma, a cláusula social favorece a consolidação de uma política pública para o emprego garantindo a proteção social, as medidas efetivas de luta contra a exclusão e a formação e atualização do trabalhador para melhorar a sua condição e de vida e trabalho. Esse último direito pode ser incluído na garantia de proteção à saúde dos trabalhadores, porque também diz respeito ao meio ambiente laboral, em condições de competitividade coerentes com o processo de globalização.</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simplificação do reconhecimento mútuo das qualificações profissionais entre os membros da U.E. e as ações prioritárias da Estratégia em prol da aprendizagem ao longo da vida estão centradas, basicamente na valorização da educação e da formação para que se reconheçam as aprendizagens informais e não formais, através da expedição de diplomas e certificados. Se objetiva que os sistemas nacionais de aprendizagem sejam tansparentes e coerentes, visando à elaboração de um mecanismo tansnacional de acumulação e transferência de qualificações que é inspirado no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curricuum vitae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europeu, além da adoção voluntária de diplomas e certificados de formação européia pelos Estados. Outra ação importante é reforçar os serviços de informação, orientação e consultoria a nível europeu, expresso pelo PLOTEUS</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10"/>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sobre as oportunidades de aprendizagem na Europa e um fórum europeu de orientação para promover os intercâmbios de informação. Os Estados são instigados a investir mais tempo e dinheiro na educação e na formação, recorrendo ao Fundo Social Europeu com compromisso de apresentar balanço dos incentivos fiscais previstos. </w:t>
      </w:r>
    </w:p>
    <w:p w:rsidR="00000000" w:rsidDel="00000000" w:rsidP="00000000" w:rsidRDefault="00000000" w:rsidRPr="00000000" w14:paraId="00000029">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Para aproximar os apreendentes das ofertas de educação e formação incentiva-se a criação de centros de aquisição de conhecimentos no ambiente do trabalho, colocando as competências de base ao alcance de todos. O apoio às pedagogias inovadoras para professores, formadores e mediadores, considerando as novas teconologias da informação e da comunicação, são outras ações importantes. Todas tem por base o Memorando sobre Aprendizagem ao Longo da Vida; a Resolução</w:t>
      </w:r>
      <w:r w:rsidDel="00000000" w:rsidR="00000000" w:rsidRPr="00000000">
        <w:rPr>
          <w:rFonts w:ascii="Arial" w:cs="Arial" w:eastAsia="Arial" w:hAnsi="Arial"/>
          <w:sz w:val="22"/>
          <w:szCs w:val="22"/>
          <w:vertAlign w:val="superscript"/>
        </w:rPr>
        <w:footnoteReference w:customMarkFollows="0" w:id="11"/>
      </w:r>
      <w:r w:rsidDel="00000000" w:rsidR="00000000" w:rsidRPr="00000000">
        <w:rPr>
          <w:rFonts w:ascii="Arial" w:cs="Arial" w:eastAsia="Arial" w:hAnsi="Arial"/>
          <w:sz w:val="22"/>
          <w:szCs w:val="22"/>
          <w:rtl w:val="0"/>
        </w:rPr>
        <w:t xml:space="preserve"> do Conselho de 27.06.2002 que confirma que a aprendizagem ao longo da vida é um dos princípios orientadores da educação e da formação; a Decisão nº 1720</w:t>
      </w:r>
      <w:r w:rsidDel="00000000" w:rsidR="00000000" w:rsidRPr="00000000">
        <w:rPr>
          <w:rFonts w:ascii="Arial" w:cs="Arial" w:eastAsia="Arial" w:hAnsi="Arial"/>
          <w:sz w:val="22"/>
          <w:szCs w:val="22"/>
          <w:vertAlign w:val="superscript"/>
        </w:rPr>
        <w:footnoteReference w:customMarkFollows="0" w:id="12"/>
      </w:r>
      <w:r w:rsidDel="00000000" w:rsidR="00000000" w:rsidRPr="00000000">
        <w:rPr>
          <w:rFonts w:ascii="Arial" w:cs="Arial" w:eastAsia="Arial" w:hAnsi="Arial"/>
          <w:sz w:val="22"/>
          <w:szCs w:val="22"/>
          <w:rtl w:val="0"/>
        </w:rPr>
        <w:t xml:space="preserve"> do Parlamento Europeu e do Conselho de 15.11.2006 que estabelece um programa de ação no domínio da aprendizagem ao longo da vida; a Recomendação</w:t>
      </w:r>
      <w:r w:rsidDel="00000000" w:rsidR="00000000" w:rsidRPr="00000000">
        <w:rPr>
          <w:rFonts w:ascii="Arial" w:cs="Arial" w:eastAsia="Arial" w:hAnsi="Arial"/>
          <w:sz w:val="22"/>
          <w:szCs w:val="22"/>
          <w:vertAlign w:val="superscript"/>
        </w:rPr>
        <w:footnoteReference w:customMarkFollows="0" w:id="13"/>
      </w:r>
      <w:r w:rsidDel="00000000" w:rsidR="00000000" w:rsidRPr="00000000">
        <w:rPr>
          <w:rFonts w:ascii="Arial" w:cs="Arial" w:eastAsia="Arial" w:hAnsi="Arial"/>
          <w:sz w:val="22"/>
          <w:szCs w:val="22"/>
          <w:rtl w:val="0"/>
        </w:rPr>
        <w:t xml:space="preserve"> do Parlamento Europeu e do Conselho de 18.12.2006 que cria efetivamente as competências chave para a aprendizagem ao longo da vida.  </w:t>
      </w:r>
    </w:p>
    <w:p w:rsidR="00000000" w:rsidDel="00000000" w:rsidP="00000000" w:rsidRDefault="00000000" w:rsidRPr="00000000" w14:paraId="0000002A">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A Recomendação sobre as competências chave para a aprendizagem permanente, relaciona um conjunto de conhecimentos, capacidades e atitudes necessários para a realização das pessoas e sua integração social, o exercício da cidadania ativa e do emprego. Traz oito competências chave, descrevendo os conhecimentos, as capacidades e as atitudes essenciais que se vinculam a cada uma delas: a comunicação na língua materna; a comunicação em língua estrangeira; a competência matemática e as competências básicas em ciência e tecnologia; a competência digital; a capacidade de aprender a aprender; as competências sociais e cívicas; o sentido de inciativa e de espírito empreendedor e a consciência e a expressão cultural. </w:t>
      </w:r>
    </w:p>
    <w:p w:rsidR="00000000" w:rsidDel="00000000" w:rsidP="00000000" w:rsidRDefault="00000000" w:rsidRPr="00000000" w14:paraId="0000002B">
      <w:pPr>
        <w:spacing w:line="36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 Processo de Copenhague e as Políticas Comunitárias de Formação para o Emprego</w:t>
      </w:r>
    </w:p>
    <w:p w:rsidR="00000000" w:rsidDel="00000000" w:rsidP="00000000" w:rsidRDefault="00000000" w:rsidRPr="00000000" w14:paraId="0000002C">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As políticas sociolaborais se integram num amplo conjunto do que se denomina de políticas públicas estruturando-se em torno dos direitos sociais e são mutáveis dependendo das sucessivas ações dos Poderes Públicos em resposta a um determinado contexto influenciado por fatores conjunturais, como o momento político, cultural, econômico e social. A ação política afeta diretamente as relações entre os sujeitos que atuam no mercado de trabalho e envolvem atuações governamentais que interferem no tecido produtivo. Algumas dessas ações adotam a forma de leis, regulamentos ou instrumentos jurídicos diversos e outras, aparecem como um conjunto de programas de atuação ou pacotes de medidas, que podem ser implementadas para períodos breves ou prolongados, para necessidades urgentes ou permanentes. A tipologia é praticamente interminável, sendo muito conhecida a afirmação de que política pública é tudo o que os governos decidem fazer ou não fazer em relação a temas variados</w:t>
      </w:r>
      <w:r w:rsidDel="00000000" w:rsidR="00000000" w:rsidRPr="00000000">
        <w:rPr>
          <w:rFonts w:ascii="Arial" w:cs="Arial" w:eastAsia="Arial" w:hAnsi="Arial"/>
          <w:sz w:val="22"/>
          <w:szCs w:val="22"/>
          <w:vertAlign w:val="superscript"/>
        </w:rPr>
        <w:footnoteReference w:customMarkFollows="0" w:id="14"/>
      </w:r>
      <w:r w:rsidDel="00000000" w:rsidR="00000000" w:rsidRPr="00000000">
        <w:rPr>
          <w:rFonts w:ascii="Arial" w:cs="Arial" w:eastAsia="Arial" w:hAnsi="Arial"/>
          <w:sz w:val="22"/>
          <w:szCs w:val="22"/>
          <w:rtl w:val="0"/>
        </w:rPr>
        <w:t xml:space="preserve">. As políticas públicas recebem a influência do setor privado e, no caso específico da temática em estudo, das empresas, dos empresários e dos trabalhadores em suas mais variadas formas de organização, observadas a liberdade de empresa, a propriedade privada e os direitos fundamentais destes coletivos conquistados ao longo do tempo. Assim, não só os governos dão forma às políticas públicas e sociolaborais, mas também, os sujeitos privados.</w:t>
      </w:r>
    </w:p>
    <w:p w:rsidR="00000000" w:rsidDel="00000000" w:rsidP="00000000" w:rsidRDefault="00000000" w:rsidRPr="00000000" w14:paraId="0000002D">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No caso da UE as ações políticas transcendem os Estados nacionais, porque seu Tratado constitutivo, nos primeiros dezesseis artigos refere-se ao princípio de repartição de competências. O Tratado de Amsterdã (1997) trouxe uma referência muito clara das atividades que afetam diretamente a possibilidade de elaborar políticas públicas sociolaborais, como as medidas relativas à entrada e a circulação de pessoas, as disposições de asilo, os vistos e a imigração, o fomento e a coordenação entre as políticas nacionais e comunitárias em matéria de emprego (</w:t>
      </w:r>
      <w:r w:rsidDel="00000000" w:rsidR="00000000" w:rsidRPr="00000000">
        <w:rPr>
          <w:rFonts w:ascii="Arial" w:cs="Arial" w:eastAsia="Arial" w:hAnsi="Arial"/>
          <w:sz w:val="18"/>
          <w:szCs w:val="18"/>
          <w:rtl w:val="0"/>
        </w:rPr>
        <w:t xml:space="preserve"> SEMPERE NAVARRO, e Outros. 2005, p.22)</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E">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As políticas de emprego e de formação profissional se fundem, na medida em que a U.E. considera o processo de aprendizagem permanente uma maneira para enfrentar os desafios da globalização da economia e da nova sociedade do Conhecimento. É por isso que a Estratégia Europeia de Emprego (EEE) firmou suas bases jurídicas no Tratado constitutivo da Comunidade Europeia (TCE), mais propriamente em seu artigo 125 estabelecendo que os Estados membros se esforçarão para definir uma estratégia coordenada de emprego. </w:t>
      </w:r>
    </w:p>
    <w:p w:rsidR="00000000" w:rsidDel="00000000" w:rsidP="00000000" w:rsidRDefault="00000000" w:rsidRPr="00000000" w14:paraId="0000002F">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O processo de Copenhague</w:t>
      </w:r>
      <w:r w:rsidDel="00000000" w:rsidR="00000000" w:rsidRPr="00000000">
        <w:rPr>
          <w:rFonts w:ascii="Arial" w:cs="Arial" w:eastAsia="Arial" w:hAnsi="Arial"/>
          <w:sz w:val="22"/>
          <w:szCs w:val="22"/>
          <w:vertAlign w:val="superscript"/>
        </w:rPr>
        <w:footnoteReference w:customMarkFollows="0" w:id="15"/>
      </w:r>
      <w:r w:rsidDel="00000000" w:rsidR="00000000" w:rsidRPr="00000000">
        <w:rPr>
          <w:rFonts w:ascii="Arial" w:cs="Arial" w:eastAsia="Arial" w:hAnsi="Arial"/>
          <w:sz w:val="22"/>
          <w:szCs w:val="22"/>
          <w:rtl w:val="0"/>
        </w:rPr>
        <w:t xml:space="preserve"> (2002) com a finalidade de acordar sobre a melhoria da cooperação europeia no domínio da educação e formação profissional (EFP), foi considerado a resposta ao apelo do Conselho Europeu de Barcelona para que se tomassem medidas práticas no domínio da educação e formação. Como parte da Estratégia de Lisboa foi criado para que a formação profissional se desenvolvesse contribuindo para o avanço das ações e políticas de aprendizagem ao longo da vida e para a oferta de mão de obra altamente qualificada, observada a meta de tornar a Europa uma das economias mais competitivas do mundo baseada no Conhecimento. O principal objetivo é melhorar a qualidade e atratividade do ensino e da formação profissional, desenvolvendo um mercado de trabalho europeu, como um complemento essencial para o mercado único de bens e serviços e da moeda única. Assenta-se em grande parte na mão de obra qualificada, adaptável e móvel, capaz de usar as suas qualificações e competências como moeda comum em todo o espaço europeu. Na prática, o processo de Copenhague funciona em quatro níveis: </w:t>
      </w:r>
      <w:r w:rsidDel="00000000" w:rsidR="00000000" w:rsidRPr="00000000">
        <w:rPr>
          <w:rFonts w:ascii="Arial" w:cs="Arial" w:eastAsia="Arial" w:hAnsi="Arial"/>
          <w:sz w:val="22"/>
          <w:szCs w:val="22"/>
          <w:u w:val="single"/>
          <w:rtl w:val="0"/>
        </w:rPr>
        <w:t xml:space="preserve">Político</w:t>
      </w:r>
      <w:r w:rsidDel="00000000" w:rsidR="00000000" w:rsidRPr="00000000">
        <w:rPr>
          <w:rFonts w:ascii="Arial" w:cs="Arial" w:eastAsia="Arial" w:hAnsi="Arial"/>
          <w:sz w:val="22"/>
          <w:szCs w:val="22"/>
          <w:rtl w:val="0"/>
        </w:rPr>
        <w:t xml:space="preserve">: influenciando as pessoas na decisão política que destaque a importância do ensino e da formação profissional (EFP), facilitando o acordo relativo aos objetivos e metas comuns para a U.E.; </w:t>
      </w:r>
      <w:r w:rsidDel="00000000" w:rsidR="00000000" w:rsidRPr="00000000">
        <w:rPr>
          <w:rFonts w:ascii="Arial" w:cs="Arial" w:eastAsia="Arial" w:hAnsi="Arial"/>
          <w:sz w:val="22"/>
          <w:szCs w:val="22"/>
          <w:u w:val="single"/>
          <w:rtl w:val="0"/>
        </w:rPr>
        <w:t xml:space="preserve">Instrumentos comuns</w:t>
      </w:r>
      <w:r w:rsidDel="00000000" w:rsidR="00000000" w:rsidRPr="00000000">
        <w:rPr>
          <w:rFonts w:ascii="Arial" w:cs="Arial" w:eastAsia="Arial" w:hAnsi="Arial"/>
          <w:sz w:val="22"/>
          <w:szCs w:val="22"/>
          <w:rtl w:val="0"/>
        </w:rPr>
        <w:t xml:space="preserve">: desenvolvendo princípios e instrumentos orientados para a transparência e qualidade das competências e qualificações, facilitando a mobilidade dos trabalhadores apreendentes. O processo traça o caminho em direção a um mercado de trabalho Europeu e um espaço Europeu de educação e formação profissional complementar ao espaço Europeu do ensino superior; </w:t>
      </w:r>
      <w:r w:rsidDel="00000000" w:rsidR="00000000" w:rsidRPr="00000000">
        <w:rPr>
          <w:rFonts w:ascii="Arial" w:cs="Arial" w:eastAsia="Arial" w:hAnsi="Arial"/>
          <w:sz w:val="22"/>
          <w:szCs w:val="22"/>
          <w:u w:val="single"/>
          <w:rtl w:val="0"/>
        </w:rPr>
        <w:t xml:space="preserve">Aprendizagem mútua</w:t>
      </w:r>
      <w:r w:rsidDel="00000000" w:rsidR="00000000" w:rsidRPr="00000000">
        <w:rPr>
          <w:rFonts w:ascii="Arial" w:cs="Arial" w:eastAsia="Arial" w:hAnsi="Arial"/>
          <w:sz w:val="22"/>
          <w:szCs w:val="22"/>
          <w:rtl w:val="0"/>
        </w:rPr>
        <w:t xml:space="preserve">: permitindo aos países participantes refletirem suas políticas à luz das experiências dos outros países e proporcionando o enquadramento para o trabalho conjunto, a partilha de ideias, experiências e resultados; </w:t>
      </w:r>
      <w:r w:rsidDel="00000000" w:rsidR="00000000" w:rsidRPr="00000000">
        <w:rPr>
          <w:rFonts w:ascii="Arial" w:cs="Arial" w:eastAsia="Arial" w:hAnsi="Arial"/>
          <w:sz w:val="22"/>
          <w:szCs w:val="22"/>
          <w:u w:val="single"/>
          <w:rtl w:val="0"/>
        </w:rPr>
        <w:t xml:space="preserve">Envolvendo todos os atores/agentes</w:t>
      </w:r>
      <w:r w:rsidDel="00000000" w:rsidR="00000000" w:rsidRPr="00000000">
        <w:rPr>
          <w:rFonts w:ascii="Arial" w:cs="Arial" w:eastAsia="Arial" w:hAnsi="Arial"/>
          <w:sz w:val="22"/>
          <w:szCs w:val="22"/>
          <w:rtl w:val="0"/>
        </w:rPr>
        <w:t xml:space="preserve">: reforçando o envolvimento de todos e contribuindo para a elaboração e persecução de objetivos comuns.</w:t>
      </w:r>
    </w:p>
    <w:p w:rsidR="00000000" w:rsidDel="00000000" w:rsidP="00000000" w:rsidRDefault="00000000" w:rsidRPr="00000000" w14:paraId="00000030">
      <w:pPr>
        <w:spacing w:line="36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Considerações Finais</w:t>
      </w:r>
    </w:p>
    <w:p w:rsidR="00000000" w:rsidDel="00000000" w:rsidP="00000000" w:rsidRDefault="00000000" w:rsidRPr="00000000" w14:paraId="00000031">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O processo foi construído para a integração das qualificações profissionais na U.E. com a finalidade de permitir a mobilidade laboral e até o presente momento, a opinião geral é de que apesar da revisão e adaptação constante, está tendo êxito, resultando na elaboração de importantes instrumentos de apoio à sua implementação. Entre os mais importantes desde 2002, consideram-se as iniciativas de elaboração do Quadro Europeu de Qualificações Profissionais, do Sistema de Créditos e de Formação Profissional e do Quadro de Referência Europeu para a Garantia da Qualidade como fundamentais para que a mudança se opere.</w:t>
      </w:r>
    </w:p>
    <w:p w:rsidR="00000000" w:rsidDel="00000000" w:rsidP="00000000" w:rsidRDefault="00000000" w:rsidRPr="00000000" w14:paraId="00000032">
      <w:pP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Referências bibliográficas</w:t>
      </w:r>
    </w:p>
    <w:p w:rsidR="00000000" w:rsidDel="00000000" w:rsidP="00000000" w:rsidRDefault="00000000" w:rsidRPr="00000000" w14:paraId="00000033">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CAMAS RODA, Ferrán. </w:t>
      </w:r>
      <w:r w:rsidDel="00000000" w:rsidR="00000000" w:rsidRPr="00000000">
        <w:rPr>
          <w:rFonts w:ascii="Arial" w:cs="Arial" w:eastAsia="Arial" w:hAnsi="Arial"/>
          <w:i w:val="1"/>
          <w:sz w:val="22"/>
          <w:szCs w:val="22"/>
          <w:rtl w:val="0"/>
        </w:rPr>
        <w:t xml:space="preserve">La Formación Profesional en los Âmbitos Educativo y Laboral: análisis tras la LO 2/2005, de educación y del RD 395/2007, de formación profesional para el empleo.</w:t>
      </w:r>
      <w:r w:rsidDel="00000000" w:rsidR="00000000" w:rsidRPr="00000000">
        <w:rPr>
          <w:rFonts w:ascii="Arial" w:cs="Arial" w:eastAsia="Arial" w:hAnsi="Arial"/>
          <w:sz w:val="22"/>
          <w:szCs w:val="22"/>
          <w:rtl w:val="0"/>
        </w:rPr>
        <w:t xml:space="preserve"> Navarra: Aranzadi, 2007, (pp.21/ 22).  </w:t>
      </w:r>
    </w:p>
    <w:p w:rsidR="00000000" w:rsidDel="00000000" w:rsidP="00000000" w:rsidRDefault="00000000" w:rsidRPr="00000000" w14:paraId="00000034">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PASTORE, José</w:t>
      </w:r>
      <w:r w:rsidDel="00000000" w:rsidR="00000000" w:rsidRPr="00000000">
        <w:rPr>
          <w:rFonts w:ascii="Arial" w:cs="Arial" w:eastAsia="Arial" w:hAnsi="Arial"/>
          <w:i w:val="1"/>
          <w:sz w:val="22"/>
          <w:szCs w:val="22"/>
          <w:rtl w:val="0"/>
        </w:rPr>
        <w:t xml:space="preserve">. A Cláusula Social e o Comércio Internacional. Brasília</w:t>
      </w:r>
      <w:r w:rsidDel="00000000" w:rsidR="00000000" w:rsidRPr="00000000">
        <w:rPr>
          <w:rFonts w:ascii="Arial" w:cs="Arial" w:eastAsia="Arial" w:hAnsi="Arial"/>
          <w:sz w:val="22"/>
          <w:szCs w:val="22"/>
          <w:rtl w:val="0"/>
        </w:rPr>
        <w:t xml:space="preserve">: Edição CNI, 1997, (p.11).</w:t>
      </w:r>
    </w:p>
    <w:p w:rsidR="00000000" w:rsidDel="00000000" w:rsidP="00000000" w:rsidRDefault="00000000" w:rsidRPr="00000000" w14:paraId="00000035">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SEMPERE NAVARRO, V. Antonio e Outros. </w:t>
      </w:r>
      <w:r w:rsidDel="00000000" w:rsidR="00000000" w:rsidRPr="00000000">
        <w:rPr>
          <w:rFonts w:ascii="Arial" w:cs="Arial" w:eastAsia="Arial" w:hAnsi="Arial"/>
          <w:i w:val="1"/>
          <w:sz w:val="22"/>
          <w:szCs w:val="22"/>
          <w:rtl w:val="0"/>
        </w:rPr>
        <w:t xml:space="preserve">Políticas Sociolaborales. Madrid: Tecnos, 2005</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URIARTE, Ermida O.; GHIONE, Barretto H. (Coord).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Formación Profesional en Ia Integración Regional.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Montevideo: Cinterfor, 2000.</w:t>
      </w:r>
    </w:p>
    <w:p w:rsidR="00000000" w:rsidDel="00000000" w:rsidP="00000000" w:rsidRDefault="00000000" w:rsidRPr="00000000" w14:paraId="00000037">
      <w:pPr>
        <w:spacing w:line="360" w:lineRule="auto"/>
        <w:jc w:val="both"/>
        <w:rPr>
          <w:rFonts w:ascii="Arial" w:cs="Arial" w:eastAsia="Arial" w:hAnsi="Arial"/>
          <w:sz w:val="22"/>
          <w:szCs w:val="22"/>
        </w:rPr>
      </w:pPr>
      <w:r w:rsidDel="00000000" w:rsidR="00000000" w:rsidRPr="00000000">
        <w:rPr>
          <w:rtl w:val="0"/>
        </w:rPr>
      </w:r>
    </w:p>
    <w:sectPr>
      <w:pgSz w:h="16838" w:w="11906"/>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Arial"/>
  <w:font w:name="Georgia"/>
  <w:font w:name="Times New Roman"/>
  <w:font w:name="Cantata One"/>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Informação retirada do artigo: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Sistemas de Formação Profissional Europeus: algumas reflexões sobre o contexto teórico de sua evolução histórica</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Publicado na Revista Européia de Formação Profissional nº 32, sob responsabilidade do Centro Europeu para o Desenvolvimento da Formação Profissional (CEDEFOP). Bélgica, 2004, (pp. 4-15).   </w:t>
      </w:r>
    </w:p>
  </w:footnote>
  <w:footnote w:id="1">
    <w:p w:rsidR="00000000" w:rsidDel="00000000" w:rsidP="00000000" w:rsidRDefault="00000000" w:rsidRPr="00000000" w14:paraId="00000039">
      <w:pPr>
        <w:jc w:val="both"/>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Os programas de trabalho e os relatórios anuais do CEDEFOP podem ser acessados na internet pelo endereço </w:t>
      </w:r>
      <w:r w:rsidDel="00000000" w:rsidR="00000000" w:rsidRPr="00000000">
        <w:rPr>
          <w:rFonts w:ascii="Arial" w:cs="Arial" w:eastAsia="Arial" w:hAnsi="Arial"/>
          <w:i w:val="1"/>
          <w:sz w:val="18"/>
          <w:szCs w:val="18"/>
          <w:rtl w:val="0"/>
        </w:rPr>
        <w:t xml:space="preserve">&lt;</w:t>
      </w:r>
      <w:hyperlink r:id="rId1">
        <w:r w:rsidDel="00000000" w:rsidR="00000000" w:rsidRPr="00000000">
          <w:rPr>
            <w:rFonts w:ascii="Arial" w:cs="Arial" w:eastAsia="Arial" w:hAnsi="Arial"/>
            <w:i w:val="1"/>
            <w:color w:val="0000ff"/>
            <w:sz w:val="18"/>
            <w:szCs w:val="18"/>
            <w:u w:val="single"/>
            <w:rtl w:val="0"/>
          </w:rPr>
          <w:t xml:space="preserve">http://www.cedefop.europa.eu</w:t>
        </w:r>
      </w:hyperlink>
      <w:r w:rsidDel="00000000" w:rsidR="00000000" w:rsidRPr="00000000">
        <w:rPr>
          <w:rFonts w:ascii="Arial" w:cs="Arial" w:eastAsia="Arial" w:hAnsi="Arial"/>
          <w:i w:val="1"/>
          <w:sz w:val="18"/>
          <w:szCs w:val="18"/>
          <w:rtl w:val="0"/>
        </w:rPr>
        <w:t xml:space="preserve">&gt;.</w:t>
      </w:r>
      <w:r w:rsidDel="00000000" w:rsidR="00000000" w:rsidRPr="00000000">
        <w:rPr>
          <w:rFonts w:ascii="Arial" w:cs="Arial" w:eastAsia="Arial" w:hAnsi="Arial"/>
          <w:sz w:val="18"/>
          <w:szCs w:val="18"/>
          <w:rtl w:val="0"/>
        </w:rPr>
        <w:t xml:space="preserve"> Está também disponível informação sobre o pessoal e o conselho de administração da agência. O Centro administra um sítio interativo na web designado de «European Training Village» (Aldeia Europeia da Formação) e o endereço de acesso é &lt;http:// </w:t>
      </w:r>
      <w:hyperlink r:id="rId2">
        <w:r w:rsidDel="00000000" w:rsidR="00000000" w:rsidRPr="00000000">
          <w:rPr>
            <w:rFonts w:ascii="Arial" w:cs="Arial" w:eastAsia="Arial" w:hAnsi="Arial"/>
            <w:i w:val="1"/>
            <w:color w:val="0000ff"/>
            <w:sz w:val="18"/>
            <w:szCs w:val="18"/>
            <w:u w:val="single"/>
            <w:rtl w:val="0"/>
          </w:rPr>
          <w:t xml:space="preserve">www.trainingvillage.gr</w:t>
        </w:r>
      </w:hyperlink>
      <w:r w:rsidDel="00000000" w:rsidR="00000000" w:rsidRPr="00000000">
        <w:rPr>
          <w:rFonts w:ascii="Arial" w:cs="Arial" w:eastAsia="Arial" w:hAnsi="Arial"/>
          <w:i w:val="1"/>
          <w:sz w:val="18"/>
          <w:szCs w:val="18"/>
          <w:rtl w:val="0"/>
        </w:rPr>
        <w:t xml:space="preserve">&gt;. </w:t>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footnote>
  <w:footnote w:id="2">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Journal Officiel des Communautés européen nes, nº C38/1, 19.2.76</w:t>
      </w:r>
    </w:p>
  </w:footnote>
  <w:footnote w:id="3">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BURKART SELLIN é autor e coordenador de vários projetos do Centro Europeu de Desenvolvimento da Formação Profissional e da rede CEDEFOP de Cooperação em Investigação sobre Tendências Europeias no estudo da evolução e tendências de profissões e qualificações (CIRETOQ).</w:t>
      </w:r>
      <w:r w:rsidDel="00000000" w:rsidR="00000000" w:rsidRPr="00000000">
        <w:rPr>
          <w:rtl w:val="0"/>
        </w:rPr>
      </w:r>
    </w:p>
  </w:footnote>
  <w:footnote w:id="4">
    <w:p w:rsidR="00000000" w:rsidDel="00000000" w:rsidP="00000000" w:rsidRDefault="00000000" w:rsidRPr="00000000" w14:paraId="0000003D">
      <w:pPr>
        <w:jc w:val="both"/>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Capítulo III. </w:t>
      </w:r>
      <w:r w:rsidDel="00000000" w:rsidR="00000000" w:rsidRPr="00000000">
        <w:rPr>
          <w:rFonts w:ascii="Arial" w:cs="Arial" w:eastAsia="Arial" w:hAnsi="Arial"/>
          <w:i w:val="1"/>
          <w:sz w:val="18"/>
          <w:szCs w:val="18"/>
          <w:rtl w:val="0"/>
        </w:rPr>
        <w:t xml:space="preserve">A educação, a formação profissional e a juventude. Artigo 126 –“1. A Comunidade contribuirá para o desenvolvimento de uma educação de qualidade, incentivando a cooperação entre Estados-membros e, se necessário, apoiando e completando a sua ação, respeitando integralmente a responsabilidade dos Estados-membros pelo conteúdo do ensino e pela organização do sistema educativo, bem como a sua diversidade cultural e linguística. 2. A ação da Comunidade tem por objetivo: desenvolver a dimensão européia na educação, nomeadamente através da aprendizagem e divulgação das línguas dos Estados-membros; incentivar a mobilidade dos estudantes e dos professores, nomeadamente através do incentivo ao reconhecimento acadêmico de diplomas e períodos de estudo; promover a cooperação entre estabelecimentos de ensino; desenvolver </w:t>
      </w:r>
      <w:r w:rsidDel="00000000" w:rsidR="00000000" w:rsidRPr="00000000">
        <w:rPr>
          <w:rFonts w:ascii="Arial" w:cs="Arial" w:eastAsia="Arial" w:hAnsi="Arial"/>
          <w:b w:val="1"/>
          <w:i w:val="1"/>
          <w:sz w:val="18"/>
          <w:szCs w:val="18"/>
          <w:rtl w:val="0"/>
        </w:rPr>
        <w:t xml:space="preserve">o intercâmbio de informações e experiências sobre questões comuns aos sistemas educativos dos Estados-membros;</w:t>
      </w:r>
      <w:r w:rsidDel="00000000" w:rsidR="00000000" w:rsidRPr="00000000">
        <w:rPr>
          <w:rFonts w:ascii="Arial" w:cs="Arial" w:eastAsia="Arial" w:hAnsi="Arial"/>
          <w:i w:val="1"/>
          <w:sz w:val="18"/>
          <w:szCs w:val="18"/>
          <w:rtl w:val="0"/>
        </w:rPr>
        <w:t xml:space="preserve"> (...).” </w:t>
      </w:r>
      <w:r w:rsidDel="00000000" w:rsidR="00000000" w:rsidRPr="00000000">
        <w:rPr>
          <w:rFonts w:ascii="Arial" w:cs="Arial" w:eastAsia="Arial" w:hAnsi="Arial"/>
          <w:sz w:val="18"/>
          <w:szCs w:val="18"/>
          <w:rtl w:val="0"/>
        </w:rPr>
        <w:t xml:space="preserve">(grifou-se).</w:t>
      </w:r>
    </w:p>
  </w:footnote>
  <w:footnote w:id="5">
    <w:p w:rsidR="00000000" w:rsidDel="00000000" w:rsidP="00000000" w:rsidRDefault="00000000" w:rsidRPr="00000000" w14:paraId="0000003E">
      <w:pPr>
        <w:jc w:val="both"/>
        <w:rPr>
          <w:rFonts w:ascii="Arial" w:cs="Arial" w:eastAsia="Arial" w:hAnsi="Arial"/>
          <w:i w:val="1"/>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Artigo 127 </w:t>
      </w:r>
      <w:r w:rsidDel="00000000" w:rsidR="00000000" w:rsidRPr="00000000">
        <w:rPr>
          <w:rFonts w:ascii="Arial" w:cs="Arial" w:eastAsia="Arial" w:hAnsi="Arial"/>
          <w:i w:val="1"/>
          <w:sz w:val="18"/>
          <w:szCs w:val="18"/>
          <w:rtl w:val="0"/>
        </w:rPr>
        <w:t xml:space="preserve">–“1. A Comunidade desenvolve uma política de formação profissional que apoia e completa as ações dos Estados-membros, </w:t>
      </w:r>
      <w:r w:rsidDel="00000000" w:rsidR="00000000" w:rsidRPr="00000000">
        <w:rPr>
          <w:rFonts w:ascii="Arial" w:cs="Arial" w:eastAsia="Arial" w:hAnsi="Arial"/>
          <w:b w:val="1"/>
          <w:i w:val="1"/>
          <w:sz w:val="18"/>
          <w:szCs w:val="18"/>
          <w:rtl w:val="0"/>
        </w:rPr>
        <w:t xml:space="preserve">respeitando plenamente a responsabilidade dos Estados-membros pelo conteúdo e pela organização da formação profissional. </w:t>
      </w:r>
      <w:r w:rsidDel="00000000" w:rsidR="00000000" w:rsidRPr="00000000">
        <w:rPr>
          <w:rFonts w:ascii="Arial" w:cs="Arial" w:eastAsia="Arial" w:hAnsi="Arial"/>
          <w:i w:val="1"/>
          <w:sz w:val="18"/>
          <w:szCs w:val="18"/>
          <w:rtl w:val="0"/>
        </w:rPr>
        <w:t xml:space="preserve">2. A ação da Comunidade tem por objetivo: facilitar a adaptação às mutações industriais, nomeadamente através da formação e da reconversão profissionais; melhorar a formação profissional inicial e a formação contínua, de modo a facilitar a </w:t>
      </w:r>
      <w:r w:rsidDel="00000000" w:rsidR="00000000" w:rsidRPr="00000000">
        <w:rPr>
          <w:rFonts w:ascii="Arial" w:cs="Arial" w:eastAsia="Arial" w:hAnsi="Arial"/>
          <w:b w:val="1"/>
          <w:i w:val="1"/>
          <w:sz w:val="18"/>
          <w:szCs w:val="18"/>
          <w:rtl w:val="0"/>
        </w:rPr>
        <w:t xml:space="preserve">inserção e a reinserção profissional no mercado de trabalho</w:t>
      </w:r>
      <w:r w:rsidDel="00000000" w:rsidR="00000000" w:rsidRPr="00000000">
        <w:rPr>
          <w:rFonts w:ascii="Arial" w:cs="Arial" w:eastAsia="Arial" w:hAnsi="Arial"/>
          <w:i w:val="1"/>
          <w:sz w:val="18"/>
          <w:szCs w:val="18"/>
          <w:rtl w:val="0"/>
        </w:rPr>
        <w:t xml:space="preserve">; (...).” </w:t>
      </w:r>
      <w:r w:rsidDel="00000000" w:rsidR="00000000" w:rsidRPr="00000000">
        <w:rPr>
          <w:rFonts w:ascii="Arial" w:cs="Arial" w:eastAsia="Arial" w:hAnsi="Arial"/>
          <w:sz w:val="18"/>
          <w:szCs w:val="18"/>
          <w:rtl w:val="0"/>
        </w:rPr>
        <w:t xml:space="preserve">(grifou-se).</w:t>
      </w:r>
      <w:r w:rsidDel="00000000" w:rsidR="00000000" w:rsidRPr="00000000">
        <w:rPr>
          <w:rtl w:val="0"/>
        </w:rPr>
      </w:r>
    </w:p>
  </w:footnote>
  <w:footnote w:id="6">
    <w:p w:rsidR="00000000" w:rsidDel="00000000" w:rsidP="00000000" w:rsidRDefault="00000000" w:rsidRPr="00000000" w14:paraId="0000003F">
      <w:pPr>
        <w:jc w:val="both"/>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Título Emprego - </w:t>
      </w:r>
      <w:r w:rsidDel="00000000" w:rsidR="00000000" w:rsidRPr="00000000">
        <w:rPr>
          <w:rFonts w:ascii="Arial" w:cs="Arial" w:eastAsia="Arial" w:hAnsi="Arial"/>
          <w:i w:val="1"/>
          <w:sz w:val="18"/>
          <w:szCs w:val="18"/>
          <w:rtl w:val="0"/>
        </w:rPr>
        <w:t xml:space="preserve">Os Estados-Membros e a Comunidade empenhar-se-ão, nos termos do presente Título, em </w:t>
      </w:r>
      <w:r w:rsidDel="00000000" w:rsidR="00000000" w:rsidRPr="00000000">
        <w:rPr>
          <w:rFonts w:ascii="Arial" w:cs="Arial" w:eastAsia="Arial" w:hAnsi="Arial"/>
          <w:b w:val="1"/>
          <w:i w:val="1"/>
          <w:sz w:val="18"/>
          <w:szCs w:val="18"/>
          <w:rtl w:val="0"/>
        </w:rPr>
        <w:t xml:space="preserve">desenvolver uma estratégia coordenada </w:t>
      </w:r>
      <w:r w:rsidDel="00000000" w:rsidR="00000000" w:rsidRPr="00000000">
        <w:rPr>
          <w:rFonts w:ascii="Arial" w:cs="Arial" w:eastAsia="Arial" w:hAnsi="Arial"/>
          <w:i w:val="1"/>
          <w:sz w:val="18"/>
          <w:szCs w:val="18"/>
          <w:rtl w:val="0"/>
        </w:rPr>
        <w:t xml:space="preserve">em matéria de emprego, em especial, em promover uma mão-de-obra qualificada, formada e suscetível de adaptação, bem como mercados de trabalho que reajam rapidamente às mudanças econômicas, tendo em vista alcançar os objectivos enunciados no artigo B do Tratado da União Europeia e no artigo 2º do presente Tratado</w:t>
      </w:r>
      <w:r w:rsidDel="00000000" w:rsidR="00000000" w:rsidRPr="00000000">
        <w:rPr>
          <w:rFonts w:ascii="Arial" w:cs="Arial" w:eastAsia="Arial" w:hAnsi="Arial"/>
          <w:sz w:val="18"/>
          <w:szCs w:val="18"/>
          <w:rtl w:val="0"/>
        </w:rPr>
        <w:t xml:space="preserve">. (grifou-se).</w:t>
      </w:r>
    </w:p>
  </w:footnote>
  <w:footnote w:id="7">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Informações retiradas do endereço eletrônico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&lt;</w:t>
      </w:r>
      <w:hyperlink r:id="rId3">
        <w:r w:rsidDel="00000000" w:rsidR="00000000" w:rsidRPr="00000000">
          <w:rPr>
            <w:rFonts w:ascii="Arial" w:cs="Arial" w:eastAsia="Arial" w:hAnsi="Arial"/>
            <w:b w:val="0"/>
            <w:i w:val="1"/>
            <w:smallCaps w:val="0"/>
            <w:strike w:val="0"/>
            <w:color w:val="0000ff"/>
            <w:sz w:val="18"/>
            <w:szCs w:val="18"/>
            <w:u w:val="single"/>
            <w:shd w:fill="auto" w:val="clear"/>
            <w:vertAlign w:val="baseline"/>
            <w:rtl w:val="0"/>
          </w:rPr>
          <w:t xml:space="preserve">http://europa.eu/legislation_summaries/employment_and_social_policy/community_employment_policies/c11318_es.htm</w:t>
        </w:r>
      </w:hyperlink>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&gt;. </w:t>
      </w:r>
      <w:r w:rsidDel="00000000" w:rsidR="00000000" w:rsidRPr="00000000">
        <w:rPr>
          <w:rtl w:val="0"/>
        </w:rPr>
      </w:r>
    </w:p>
  </w:footnote>
  <w:footnote w:id="8">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Informações retiradas do endereço eletrônico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&lt;</w:t>
      </w:r>
      <w:hyperlink r:id="rId4">
        <w:r w:rsidDel="00000000" w:rsidR="00000000" w:rsidRPr="00000000">
          <w:rPr>
            <w:rFonts w:ascii="Arial" w:cs="Arial" w:eastAsia="Arial" w:hAnsi="Arial"/>
            <w:b w:val="0"/>
            <w:i w:val="1"/>
            <w:smallCaps w:val="0"/>
            <w:strike w:val="0"/>
            <w:color w:val="0000ff"/>
            <w:sz w:val="18"/>
            <w:szCs w:val="18"/>
            <w:u w:val="single"/>
            <w:shd w:fill="auto" w:val="clear"/>
            <w:vertAlign w:val="baseline"/>
            <w:rtl w:val="0"/>
          </w:rPr>
          <w:t xml:space="preserve">http://europa.eu/legislation_summaries/employment_and_social_policy/community_employment_policies/index_pt.htm&gt;.</w:t>
        </w:r>
      </w:hyperlink>
      <w:r w:rsidDel="00000000" w:rsidR="00000000" w:rsidRPr="00000000">
        <w:rPr>
          <w:rtl w:val="0"/>
        </w:rPr>
      </w:r>
    </w:p>
  </w:footnote>
  <w:footnote w:id="9">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Informações retiradas do endereço eletrônico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&lt;</w:t>
      </w:r>
      <w:hyperlink r:id="rId5">
        <w:r w:rsidDel="00000000" w:rsidR="00000000" w:rsidRPr="00000000">
          <w:rPr>
            <w:rFonts w:ascii="Arial" w:cs="Arial" w:eastAsia="Arial" w:hAnsi="Arial"/>
            <w:b w:val="0"/>
            <w:i w:val="1"/>
            <w:smallCaps w:val="0"/>
            <w:strike w:val="0"/>
            <w:color w:val="0000ff"/>
            <w:sz w:val="18"/>
            <w:szCs w:val="18"/>
            <w:u w:val="single"/>
            <w:shd w:fill="auto" w:val="clear"/>
            <w:vertAlign w:val="baseline"/>
            <w:rtl w:val="0"/>
          </w:rPr>
          <w:t xml:space="preserve">http://europa.eu/scadplus/glossary/lisbon_strategy_pt.htm</w:t>
        </w:r>
      </w:hyperlink>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&gt;.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footnote>
  <w:footnote w:id="10">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PLOTEUS (Portal on Learning Opportunities throughout the European Space), el portal sobre oportunidades de aprendizaje en todo el espacio europeo. Pode ser acessado em espanhol na direção: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&lt;</w:t>
      </w:r>
      <w:hyperlink r:id="rId6">
        <w:r w:rsidDel="00000000" w:rsidR="00000000" w:rsidRPr="00000000">
          <w:rPr>
            <w:rFonts w:ascii="Arial" w:cs="Arial" w:eastAsia="Arial" w:hAnsi="Arial"/>
            <w:b w:val="0"/>
            <w:i w:val="1"/>
            <w:smallCaps w:val="0"/>
            <w:strike w:val="0"/>
            <w:color w:val="000000"/>
            <w:sz w:val="18"/>
            <w:szCs w:val="18"/>
            <w:u w:val="single"/>
            <w:shd w:fill="auto" w:val="clear"/>
            <w:vertAlign w:val="baseline"/>
            <w:rtl w:val="0"/>
          </w:rPr>
          <w:t xml:space="preserve">http://.ec.europa.eu/ploteus/setlanguage?setLanguage=es</w:t>
        </w:r>
      </w:hyperlink>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&gt;.</w:t>
      </w:r>
    </w:p>
  </w:footnote>
  <w:footnote w:id="11">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[Jornal Oficial C 163 de 9.7.2002].</w:t>
      </w:r>
    </w:p>
  </w:footnote>
  <w:footnote w:id="12">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[Oficial L 394 de 30.12.2006].</w:t>
      </w:r>
    </w:p>
  </w:footnote>
  <w:footnote w:id="13">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[Jornal Oficial L 394 de 30.12.2006].</w:t>
      </w:r>
    </w:p>
  </w:footnote>
  <w:footnote w:id="14">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SEMPERE NAVARRO, V. Antonio e outros.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Políticas Sociolaborales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3ª edição. Madrid: Tecnos, 2005, (pp.20/21). </w:t>
      </w:r>
    </w:p>
  </w:footnote>
  <w:footnote w:id="15">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Processo de Copenhague: Novas Prioridades e Estratégias para a Educação e Formação</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Informações disponíveis em &lt;</w:t>
      </w:r>
      <w:hyperlink r:id="rId7">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 xml:space="preserve">http://ec.europa.eu/education/policies/2010/vocational_en.html&gt;. Acesso em 12.12.2008</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às </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15hs.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yperlink" Target="http://europa.eu/scadplus/leg/pt/cha/c11323.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edefop.europa.eu" TargetMode="External"/><Relationship Id="rId2" Type="http://schemas.openxmlformats.org/officeDocument/2006/relationships/hyperlink" Target="http://www.trainingvillage.gr" TargetMode="External"/><Relationship Id="rId3" Type="http://schemas.openxmlformats.org/officeDocument/2006/relationships/hyperlink" Target="http://europa.eu/legislation_summaries/employment_and_social_policy/community_employment_policies/c11318_es.htm" TargetMode="External"/><Relationship Id="rId4" Type="http://schemas.openxmlformats.org/officeDocument/2006/relationships/hyperlink" Target="http://europa.eu/legislation_summaries/employment_and_social_policy/community_employment_policies/index_pt.htm%3e." TargetMode="External"/><Relationship Id="rId5" Type="http://schemas.openxmlformats.org/officeDocument/2006/relationships/hyperlink" Target="http://europa.eu/scadplus/glossary/lisbon_strategy_pt.htm" TargetMode="External"/><Relationship Id="rId6" Type="http://schemas.openxmlformats.org/officeDocument/2006/relationships/hyperlink" Target="http://.ec.europa.eu/ploteus/setlanguage?setLanguage=es" TargetMode="External"/><Relationship Id="rId7" Type="http://schemas.openxmlformats.org/officeDocument/2006/relationships/hyperlink" Target="http://ec.europa.eu/education/policies/2010/vocational_en.html%3e.%20Acesso%20em%2012.12.2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