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w:t>
      </w:r>
    </w:p>
    <w:p w:rsidR="00000000" w:rsidDel="00000000" w:rsidP="00000000" w:rsidRDefault="00000000" w:rsidRPr="00000000" w14:paraId="00000007">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GEOFRONTEIRA)</w:t>
      </w:r>
    </w:p>
    <w:p w:rsidR="00000000" w:rsidDel="00000000" w:rsidP="00000000" w:rsidRDefault="00000000" w:rsidRPr="00000000" w14:paraId="00000008">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9">
      <w:pPr>
        <w:spacing w:after="120" w:line="360" w:lineRule="auto"/>
        <w:jc w:val="center"/>
        <w:rPr>
          <w:rFonts w:ascii="Arial" w:cs="Arial" w:eastAsia="Arial" w:hAnsi="Arial"/>
          <w:b w:val="1"/>
          <w:i w:val="1"/>
          <w:sz w:val="24"/>
          <w:szCs w:val="24"/>
          <w:u w:val="single"/>
        </w:rPr>
      </w:pPr>
      <w:r w:rsidDel="00000000" w:rsidR="00000000" w:rsidRPr="00000000">
        <w:rPr>
          <w:rtl w:val="0"/>
        </w:rPr>
      </w:r>
    </w:p>
    <w:p w:rsidR="00000000" w:rsidDel="00000000" w:rsidP="00000000" w:rsidRDefault="00000000" w:rsidRPr="00000000" w14:paraId="0000000A">
      <w:pPr>
        <w:spacing w:after="1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1: FRONTERA Y EDUCACIÓN / FRONTEIRA E EDUCAÇÃO</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Identidad y la alteridad en los procesos educativos en las zonas fronterizas Educación y lenguas transfronteras/Educação e línguas transfronteiras.</w:t>
      </w:r>
    </w:p>
    <w:p w:rsidR="00000000" w:rsidDel="00000000" w:rsidP="00000000" w:rsidRDefault="00000000" w:rsidRPr="00000000" w14:paraId="0000000C">
      <w:pPr>
        <w:spacing w:after="12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ETNOEDUCACIÓN, DESAFÍO EN LA EDUCACIÓN INDÍGENA</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120" w:line="360" w:lineRule="auto"/>
        <w:jc w:val="right"/>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Juan de la Cruz Brítez Silvero. </w:t>
      </w:r>
      <w:hyperlink r:id="rId8">
        <w:r w:rsidDel="00000000" w:rsidR="00000000" w:rsidRPr="00000000">
          <w:rPr>
            <w:rFonts w:ascii="Arial" w:cs="Arial" w:eastAsia="Arial" w:hAnsi="Arial"/>
            <w:color w:val="000080"/>
            <w:u w:val="single"/>
            <w:rtl w:val="0"/>
          </w:rPr>
          <w:t xml:space="preserve">jbsilvero@gmail.com</w:t>
        </w:r>
      </w:hyperlink>
      <w:r w:rsidDel="00000000" w:rsidR="00000000" w:rsidRPr="00000000">
        <w:rPr>
          <w:rtl w:val="0"/>
        </w:rPr>
      </w:r>
    </w:p>
    <w:p w:rsidR="00000000" w:rsidDel="00000000" w:rsidP="00000000" w:rsidRDefault="00000000" w:rsidRPr="00000000" w14:paraId="00000011">
      <w:pPr>
        <w:spacing w:after="120" w:line="360" w:lineRule="auto"/>
        <w:jc w:val="right"/>
        <w:rPr>
          <w:rFonts w:ascii="Arial" w:cs="Arial" w:eastAsia="Arial" w:hAnsi="Arial"/>
        </w:rPr>
      </w:pPr>
      <w:r w:rsidDel="00000000" w:rsidR="00000000" w:rsidRPr="00000000">
        <w:rPr>
          <w:rFonts w:ascii="Arial" w:cs="Arial" w:eastAsia="Arial" w:hAnsi="Arial"/>
          <w:rtl w:val="0"/>
        </w:rPr>
        <w:t xml:space="preserve">Facultad de Humanidades, Ciencias Sociales y Cultura Guaraní.</w:t>
      </w:r>
    </w:p>
    <w:p w:rsidR="00000000" w:rsidDel="00000000" w:rsidP="00000000" w:rsidRDefault="00000000" w:rsidRPr="00000000" w14:paraId="00000012">
      <w:pPr>
        <w:spacing w:after="120" w:line="360" w:lineRule="auto"/>
        <w:jc w:val="right"/>
        <w:rPr>
          <w:rFonts w:ascii="Arial" w:cs="Arial" w:eastAsia="Arial" w:hAnsi="Arial"/>
        </w:rPr>
      </w:pPr>
      <w:r w:rsidDel="00000000" w:rsidR="00000000" w:rsidRPr="00000000">
        <w:rPr>
          <w:rFonts w:ascii="Arial" w:cs="Arial" w:eastAsia="Arial" w:hAnsi="Arial"/>
          <w:rtl w:val="0"/>
        </w:rPr>
        <w:t xml:space="preserve"> UNIVERSIDAD NACIONAL DE ITAPÚA. </w:t>
      </w:r>
    </w:p>
    <w:p w:rsidR="00000000" w:rsidDel="00000000" w:rsidP="00000000" w:rsidRDefault="00000000" w:rsidRPr="00000000" w14:paraId="00000013">
      <w:pPr>
        <w:spacing w:after="120" w:line="360"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Encarnación - Paraguay</w:t>
      </w:r>
    </w:p>
    <w:p w:rsidR="00000000" w:rsidDel="00000000" w:rsidP="00000000" w:rsidRDefault="00000000" w:rsidRPr="00000000" w14:paraId="00000014">
      <w:pPr>
        <w:spacing w:after="120" w:line="360" w:lineRule="auto"/>
        <w:jc w:val="righ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120" w:line="360" w:lineRule="auto"/>
        <w:jc w:val="center"/>
        <w:rPr>
          <w:rFonts w:ascii="Arial" w:cs="Arial" w:eastAsia="Arial" w:hAnsi="Arial"/>
        </w:rPr>
      </w:pPr>
      <w:r w:rsidDel="00000000" w:rsidR="00000000" w:rsidRPr="00000000">
        <w:rPr>
          <w:rFonts w:ascii="Arial" w:cs="Arial" w:eastAsia="Arial" w:hAnsi="Arial"/>
          <w:rtl w:val="0"/>
        </w:rPr>
        <w:t xml:space="preserve">Septiembre - 2015</w:t>
      </w:r>
    </w:p>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120" w:line="360" w:lineRule="auto"/>
        <w:jc w:val="both"/>
        <w:rPr>
          <w:rFonts w:ascii="Arial" w:cs="Arial" w:eastAsia="Arial" w:hAnsi="Arial"/>
          <w:b w:val="1"/>
        </w:rPr>
      </w:pPr>
      <w:r w:rsidDel="00000000" w:rsidR="00000000" w:rsidRPr="00000000">
        <w:rPr>
          <w:rFonts w:ascii="Arial" w:cs="Arial" w:eastAsia="Arial" w:hAnsi="Arial"/>
          <w:b w:val="1"/>
          <w:rtl w:val="0"/>
        </w:rPr>
        <w:t xml:space="preserve">Resumen/ Resumo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ensayo plantea algunos elementos para la construcción de una etno-educación para los Pueblos Indígenas, en contexto de fronteras,  como sujetos-objetos de conocimiento que conforman la realidad en relación con “otros” y en una interrelación con otros sujetos-objetos, en la construcción de significados desde el otro en cuanto otro, distinto.</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perspectiva antro-bio-céntrica, se busca iluminar y redescubrir en el contexto de la Educación Institucional Indígena, en Paraguay, una etno-educación como un talante, en la construcción de “un nuevo proyecto civilizatorio”,  desde  una visión </w:t>
      </w:r>
      <w:r w:rsidDel="00000000" w:rsidR="00000000" w:rsidRPr="00000000">
        <w:rPr>
          <w:rFonts w:ascii="Times New Roman" w:cs="Times New Roman" w:eastAsia="Times New Roman" w:hAnsi="Times New Roman"/>
          <w:i w:val="1"/>
          <w:sz w:val="24"/>
          <w:szCs w:val="24"/>
          <w:rtl w:val="0"/>
        </w:rPr>
        <w:t xml:space="preserve">bio-cosmocéntrica,</w:t>
      </w:r>
      <w:r w:rsidDel="00000000" w:rsidR="00000000" w:rsidRPr="00000000">
        <w:rPr>
          <w:rFonts w:ascii="Times New Roman" w:cs="Times New Roman" w:eastAsia="Times New Roman" w:hAnsi="Times New Roman"/>
          <w:sz w:val="24"/>
          <w:szCs w:val="24"/>
          <w:rtl w:val="0"/>
        </w:rPr>
        <w:t xml:space="preserve"> que interpela a la visión antropocéntrica tradicional.</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visión de la etno-educación que interpela a pensar en diferente y a permitir a los indígenas a desarrollar una educación desde su propia cultura; a través de una interculturalidad,  liberándolos de una educación de sometimiento de parte de los mestizos y/o paraguayos. Se concluye con una propuesta de roles a partir de experiencias de otras etnias acerca de la Escuela en la Comunidad Indígena para una etno-educación intercultural.</w:t>
      </w:r>
    </w:p>
    <w:p w:rsidR="00000000" w:rsidDel="00000000" w:rsidP="00000000" w:rsidRDefault="00000000" w:rsidRPr="00000000" w14:paraId="0000001B">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Perfil académico del autor</w:t>
      </w:r>
    </w:p>
    <w:p w:rsidR="00000000" w:rsidDel="00000000" w:rsidP="00000000" w:rsidRDefault="00000000" w:rsidRPr="00000000" w14:paraId="000000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Formación filosófica, en la Facultad de Teología. Universidad Católica “Ntra. Sra. de la Asunción” Asunción. Paraguay. Formación Teológica y Misionera en el </w:t>
      </w:r>
      <w:r w:rsidDel="00000000" w:rsidR="00000000" w:rsidRPr="00000000">
        <w:rPr>
          <w:rFonts w:ascii="Times New Roman" w:cs="Times New Roman" w:eastAsia="Times New Roman" w:hAnsi="Times New Roman"/>
          <w:color w:val="000000"/>
          <w:sz w:val="20"/>
          <w:szCs w:val="20"/>
          <w:rtl w:val="0"/>
        </w:rPr>
        <w:t xml:space="preserve">Missionary Institute  Mill Hill. Londres. Inglaterra. Magister en Teología por la Universidad Evangélica “Martin Luther King”. Managua. Nicaragua. . Diplomado en Docencia Universitaria y  Doctor en Educación por la Universidad Nacional de Itapúa. Encarnación. Paraguay. Especialización en Bioética por la Facultad de Medicina, Universidad Nacional de Asunción.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Responsable de las cátedras de Teoría de Estado y Gobierno; Sistemas Políticos Comparados, en la carrera de Relaciones Internacionales. Encargado de la Cátedra de Sociología. Facultad de Ciencias Económicas y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Administrativas. FaCEA UNI. Docente de Postgrado de la cátedra de Antropología y Filosofía de la Educación. Facultad de Humanidades, Ciencias Sociales y Cultura Guaraní y, de la Escuela de Postgrado. Universidad Nacional de Itapúa. Encargado de Cátedra de Bioética en las Facultades de Ciencias Jurídicas y Ciencias de la Salud de la Universidad Católica “Nuestra Señora de la Asunción”. Encarnación. Paraguay.</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27">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presente ensayo, desarrollamos  las implicancias de un hecho de gran importancia para comprender nuestra realidad ante la etno-educación, y es el «descubrimiento de América». La importancia de iniciar el trabajo con esta apreciación radica en que dicho acto se consolidó sobre el desconocimiento </w:t>
      </w:r>
      <w:r w:rsidDel="00000000" w:rsidR="00000000" w:rsidRPr="00000000">
        <w:rPr>
          <w:rFonts w:ascii="Times New Roman" w:cs="Times New Roman" w:eastAsia="Times New Roman" w:hAnsi="Times New Roman"/>
          <w:i w:val="1"/>
          <w:sz w:val="24"/>
          <w:szCs w:val="24"/>
          <w:rtl w:val="0"/>
        </w:rPr>
        <w:t xml:space="preserve">del otro</w:t>
      </w:r>
      <w:r w:rsidDel="00000000" w:rsidR="00000000" w:rsidRPr="00000000">
        <w:rPr>
          <w:rFonts w:ascii="Times New Roman" w:cs="Times New Roman" w:eastAsia="Times New Roman" w:hAnsi="Times New Roman"/>
          <w:sz w:val="24"/>
          <w:szCs w:val="24"/>
          <w:rtl w:val="0"/>
        </w:rPr>
        <w:t xml:space="preserve">, el avasallamiento material y cultural de los pueblos que habitaban el territorio americano, del cual nosotros no se puede estar ajeno, que representa una visión antropocéntrica de lucha, de supremacía y dominio sobre las demás.</w:t>
      </w:r>
    </w:p>
    <w:p w:rsidR="00000000" w:rsidDel="00000000" w:rsidP="00000000" w:rsidRDefault="00000000" w:rsidRPr="00000000" w14:paraId="00000028">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Pueblos Latinoamericanas son fruto de esas situaciones, y que deben ser depurados  elementos que no permiten la convivencia desde una riqueza intercultural, en diversidad multi y pluriétnica en América Latina. Quizás no se ha logrado reflexionar suficiente y responsablemente al respecto de las implicancias que ello tiene para la realidad actual. Este ensayo monográfico pretende brindar elementos para analizar y asumir realidades del mestizaje antes que dar lecciones al otro. Es caer en la cuenta del dominio sobre otras culturas y formas de vida, en la que fácilmente se reproduce la cultura del descubrimiento y sometimiento hacia el otro en un proceso de domesticación. Este espacio del</w:t>
      </w:r>
      <w:r w:rsidDel="00000000" w:rsidR="00000000" w:rsidRPr="00000000">
        <w:rPr>
          <w:rFonts w:ascii="Times New Roman" w:cs="Times New Roman" w:eastAsia="Times New Roman" w:hAnsi="Times New Roman"/>
          <w:rtl w:val="0"/>
        </w:rPr>
        <w:t xml:space="preserve"> III SEMINARIO INTERNACIONAL DE LOS ESPACIOS DE FRONTERA (III GEOFRONTERA), con el lema: “Integración: Cooperación y Conflictos”, reafirma  “la frontera como matriz conceptual y como fenómeno territorial de investigación” (Circular I, Geofrontera, 2015) en la construcción de nuevos paradigmas </w:t>
      </w:r>
      <w:r w:rsidDel="00000000" w:rsidR="00000000" w:rsidRPr="00000000">
        <w:rPr>
          <w:rtl w:val="0"/>
        </w:rPr>
      </w:r>
    </w:p>
    <w:p w:rsidR="00000000" w:rsidDel="00000000" w:rsidP="00000000" w:rsidRDefault="00000000" w:rsidRPr="00000000" w14:paraId="00000029">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necesario, a propósito de la realidad, plantear el problema que ello origina en nuestro contexto de Nación Paraguaya. Cuando los sujetos comparten una amplia serie de características y símbolos afines -la cultura- tienden a observar la realidad, </w:t>
      </w:r>
      <w:r w:rsidDel="00000000" w:rsidR="00000000" w:rsidRPr="00000000">
        <w:rPr>
          <w:rFonts w:ascii="Times New Roman" w:cs="Times New Roman" w:eastAsia="Times New Roman" w:hAnsi="Times New Roman"/>
          <w:i w:val="1"/>
          <w:sz w:val="24"/>
          <w:szCs w:val="24"/>
          <w:rtl w:val="0"/>
        </w:rPr>
        <w:t xml:space="preserve">su realidad</w:t>
      </w:r>
      <w:r w:rsidDel="00000000" w:rsidR="00000000" w:rsidRPr="00000000">
        <w:rPr>
          <w:rFonts w:ascii="Times New Roman" w:cs="Times New Roman" w:eastAsia="Times New Roman" w:hAnsi="Times New Roman"/>
          <w:sz w:val="24"/>
          <w:szCs w:val="24"/>
          <w:rtl w:val="0"/>
        </w:rPr>
        <w:t xml:space="preserve">, como un valor absoluto. Esta cuestión se podría definir inicialmente como una cosmovisión propia: lo que una cultura determina como experiencia histórica y lo que codifica simbólicamente. Por lo tanto, la realidad está condicionada por las experiencias culturales; en sí misma, no existe una sola realidad: las concepciones de lo real son múltiples y están supeditadas a lo étnico-cultural. Todo depende del punto de vista: una comunidad humana ligada por un pasado común, una lengua y un acervo de creencias, definen lo que es real de acuerdo a su conciencia cultural (la realidad en un consenso social que otorga sentido particular a la visión del mundo de un grupo étnico o cultural) (Borda, 1994 pag.23).</w:t>
      </w:r>
    </w:p>
    <w:p w:rsidR="00000000" w:rsidDel="00000000" w:rsidP="00000000" w:rsidRDefault="00000000" w:rsidRPr="00000000" w14:paraId="0000002A">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perspectiva antropológica nos permite iluminar y redescubrir en nuestro contexto de Educación Institucional paraguaya la etno-educación como un desafío, en la construcción de “un nuevo proyecto civilizatorio, no desde una visión antropocéntrica tradicional, sino desde una visión </w:t>
      </w:r>
      <w:r w:rsidDel="00000000" w:rsidR="00000000" w:rsidRPr="00000000">
        <w:rPr>
          <w:rFonts w:ascii="Times New Roman" w:cs="Times New Roman" w:eastAsia="Times New Roman" w:hAnsi="Times New Roman"/>
          <w:i w:val="1"/>
          <w:sz w:val="24"/>
          <w:szCs w:val="24"/>
          <w:rtl w:val="0"/>
        </w:rPr>
        <w:t xml:space="preserve">bio-cosmocéntrica</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donde la vida sea el centro de todo lo humano y de todo lo existente, en la perspectiva de una interrelación armónica entre el ser humano, la naturaleza y el cosmos” (Guerrero, 2007 pág.   ). La situación de nuestra realidad nos lleva a plantear algunas reflexiones respecto a la educación, siendo un país con un aparente “bilingüismo”, en detrimento de otras lenguas, por ello, queremos fortalecer las otras lenguas y culturas desde una propuesta bio-cosmocéntrica y etno-cultural-educativa, con algunos elementos surgido desde otras etnias en Latinoamérica.  </w:t>
      </w:r>
    </w:p>
    <w:p w:rsidR="00000000" w:rsidDel="00000000" w:rsidP="00000000" w:rsidRDefault="00000000" w:rsidRPr="00000000" w14:paraId="0000002B">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etno-educación es la forma privilegiada de transmitir, conservar, reproducir y construir la cultura. Permite generar conciencia crítica capaz de transformar la sociedad.</w:t>
      </w:r>
    </w:p>
    <w:p w:rsidR="00000000" w:rsidDel="00000000" w:rsidP="00000000" w:rsidRDefault="00000000" w:rsidRPr="00000000" w14:paraId="0000002C">
      <w:pPr>
        <w:spacing w:after="28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LA ETNOEDUCACIÓN</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Fonts w:ascii="Times New Roman" w:cs="Times New Roman" w:eastAsia="Times New Roman" w:hAnsi="Times New Roman"/>
          <w:b w:val="1"/>
          <w:sz w:val="24"/>
          <w:szCs w:val="24"/>
          <w:rtl w:val="0"/>
        </w:rPr>
        <w:t xml:space="preserve"> Y LOS PUEBLOS INDÍGENAS</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EL DESAFÍO DE UNA ETNOEDUCACIÓN  PARA LA COMUNIDAD INDÍGENA</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el presente ensayo se enmarca dentro de la etno-educación para la Nación de Pueblos Indígenas que se encuentran en el Territorio Guaraní, a partir de documentos varios, como ser el “Documento: Memoria, elaborado por el “Grupo de Seguimiento a la Educación Indígena”, al cumplirse “una década de lucha por el Derecho a la Educación Propia de los Pueblos Indígena” (1992-2003) como un aporte de ensayo bibliográfico.</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Cada grupo humano cuenta con los mecanismos básicos para educar a sus miembros dentro de una perspectiva que le garantice a la sociedad los elementos necesarios para construir su devenir histórico en el contexto de su proyecto de ser humano en un contexto de sociedad; es por esto que la sociedad en su conjunto es educadora. La diversidad cultural existente en cada sociedad, de las naciones y  regiones  del planeta, por su originalidad y diversidad (pluralidad) brindan una identidad que son fuente de intercambio, innovación y creatividad como patrimonio de la humanidad (UNESCO (2002), sobre Diversidad Cultural, Art. 1)</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Declaración de la UNESCO sobre la Diversidad Cultural (2002:Art.4) nos recuerda que “La defensa de la diversidad cultural es un imperativo ético, inseparable del respeto de la dignidad de la persona humana”, acentuando de forma particular el respeto de los derechos humanos y las libertades fundamentales de poblaciones autóctonas.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nuestra realidad de Nación Paraguaya, como una riqueza intercultural, en diversidad,  vemos que el término  “inter”: en el concepto aprendizaje intercultural significa entre las culturas. (Christoph Wulf, 1993 pág. 117).</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Constitución del año 1992,  manifiesta que el Paraguay “es un país  pluricultural y bilingüe… las lenguas indígenas, así como las de otras minorías, forman parte del patrimonio cultural de la Nación” (Art.:140).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documento realizado por el Grupo de Seguimiento Indígena (GSEI) y la Coordinación Nacional de Pastoral Indígena  (CONAPI), expresan en forma clara y a los efectos de brindar “un mejor conocimiento y una mayor comprensión de la Ley Nº 3231/07 “Que crea la dirección General de Educación Escolar Indígena” (2009, pág.5), que “El Paraguay está constituido por una diversidad de pueblos étnicamente diferenciados, con historias, culturas y lenguas propias. Como lo expresa la Carta Magna de la Nación Paraguaya, “país multicultural, pluriétnico y multibilingüe". A partir de estos documentos constatamos que somos un país pluricultural, pluriétnico y multibilüinge. Estos enunciados,  como mandato  Constitucional  exigen revisión y plantean grandes interrogantes a los Poderes del Estado, y de modo especial al Gobierno de turno que le toca ejecutar dicho mandato, ante una expresión totalizante del </w:t>
      </w:r>
      <w:r w:rsidDel="00000000" w:rsidR="00000000" w:rsidRPr="00000000">
        <w:rPr>
          <w:rFonts w:ascii="Times New Roman" w:cs="Times New Roman" w:eastAsia="Times New Roman" w:hAnsi="Times New Roman"/>
          <w:i w:val="1"/>
          <w:sz w:val="24"/>
          <w:szCs w:val="24"/>
          <w:rtl w:val="0"/>
        </w:rPr>
        <w:t xml:space="preserve">bilingüismo </w:t>
      </w:r>
      <w:r w:rsidDel="00000000" w:rsidR="00000000" w:rsidRPr="00000000">
        <w:rPr>
          <w:rFonts w:ascii="Times New Roman" w:cs="Times New Roman" w:eastAsia="Times New Roman" w:hAnsi="Times New Roman"/>
          <w:sz w:val="24"/>
          <w:szCs w:val="24"/>
          <w:rtl w:val="0"/>
        </w:rPr>
        <w:t xml:space="preserve">y una visión totalizadora y de globalización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revalorizar la cuestión cultural e interculturalidad es otro aspecto fundamental de la etno-educación intercultural. Durante casi toda la historia de la educación en nuestro país los indígenas han sido y siguen siendo víctimas de una educación precaria y discriminadora social, económica y sobre todo culturalmente. La misma realidad del “bilingüismo” que ante una realidad “multilingüe” y “pluriétnica”, se impone y deja fuera toda otra lengua y cultura. El  bilingüismo apropiado por un sistema de poder que viene reproduciéndose a partir de la Época de la Colonia y, de modo especial, con las políticas educativas desde la Colonia, donde se imponía un sistema “asimilacionista”, en este sentido,  Gustavo Larrea Cabrera (1990 pág.128 citado en:  Christoph Wulf, 1993 pág.120), expresa que con el afán de implementar esta visión “asimilacionista”  a través de todos los medios  y de modo especial en el sistema educativo, tenía por objetivo,  homogenizar las diferentes culturas. Poniendo de manifiesto a una sociedad dominante que se imponía y marginaba a través de una educación discriminadora social, económica y sobre todo culturalmente.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 la homogenización, era, justamente, hacer que los valores transmitidos sean aceptados y asimilados por todos de igual manera, sin importar las particularidades y realidades económicas, sociales, étnicas, culturales, de quienes deben aceptar y asimilar.</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En Paraguay, a lo largo del régimen del Gral. Alfredo Stroessner, se pasa de una política inicial de integración, común a lo largo de Latinoamérica “… a otra de exclusión diseñada a perpetrar la desaparición de los nativos a toda costa” (2011 pág.21), nos dice   René D. Harder Horst, (2011 págs.58-59; 113-130), en su libro, El Régimen de Stroessner y la Resistencia Indígena  donde aborda la relación dialéctica entre la población indígena del moderno Paraguay, la dictadura de Stroessner y las misiones religiosas. Argumenta que los planes de Stroessner para con la población indígena eran orgánicos y evolucionaron con el régimen de manera caótica. “Las comunidades indígenas rurales –en especial las tribus nómadas que aún cazaban en los escasos bosques remanentes- constituían obstáculos para el desarrollo económico como para la imagen del país. Para modernizar al Paraguay, el régimen confiaba en cambiar los estilos de vida nativos. El plan de Stroessner de asimilar los pueblos  indígenas dentro de la cultura nacional y los mercados alteraría cuando menos significativamente  a muchas comunidades” y así se los integraría a la sociedad como agricultores o asalariados, en total detrimento y desintegración de su cultura, lengua y por qué no de su etnia. Para ejecutar este plan, Stroessner creó, en noviembre de 1958, la agencia estatal denominada Departamento de Asuntos Indígenas (DAI). Este Departamento involucró a muchos religiosos hacia un paternalismo en la atención a los indígenas, a favor de la integración a la sociedad nacional, que con los años se convierte en exclusión y exterminio. </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ese sentido, Muñoz, J.,</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1993 pág.94), se refiere a que este tipo de  poder de dominación, a través de su </w:t>
      </w:r>
      <w:r w:rsidDel="00000000" w:rsidR="00000000" w:rsidRPr="00000000">
        <w:rPr>
          <w:rFonts w:ascii="Times New Roman" w:cs="Times New Roman" w:eastAsia="Times New Roman" w:hAnsi="Times New Roman"/>
          <w:i w:val="1"/>
          <w:sz w:val="24"/>
          <w:szCs w:val="24"/>
          <w:rtl w:val="0"/>
        </w:rPr>
        <w:t xml:space="preserve">forma de control</w:t>
      </w:r>
      <w:r w:rsidDel="00000000" w:rsidR="00000000" w:rsidRPr="00000000">
        <w:rPr>
          <w:rFonts w:ascii="Times New Roman" w:cs="Times New Roman" w:eastAsia="Times New Roman" w:hAnsi="Times New Roman"/>
          <w:sz w:val="24"/>
          <w:szCs w:val="24"/>
          <w:rtl w:val="0"/>
        </w:rPr>
        <w:t xml:space="preserve"> logra la </w:t>
      </w:r>
      <w:r w:rsidDel="00000000" w:rsidR="00000000" w:rsidRPr="00000000">
        <w:rPr>
          <w:rFonts w:ascii="Times New Roman" w:cs="Times New Roman" w:eastAsia="Times New Roman" w:hAnsi="Times New Roman"/>
          <w:i w:val="1"/>
          <w:sz w:val="24"/>
          <w:szCs w:val="24"/>
          <w:rtl w:val="0"/>
        </w:rPr>
        <w:t xml:space="preserve">inactividad y la paralización, negando la reflexión</w:t>
      </w:r>
      <w:r w:rsidDel="00000000" w:rsidR="00000000" w:rsidRPr="00000000">
        <w:rPr>
          <w:rFonts w:ascii="Times New Roman" w:cs="Times New Roman" w:eastAsia="Times New Roman" w:hAnsi="Times New Roman"/>
          <w:sz w:val="24"/>
          <w:szCs w:val="24"/>
          <w:rtl w:val="0"/>
        </w:rPr>
        <w:t xml:space="preserve">, se “todifica” y depende, ya no de su individualidad sino del destino </w:t>
      </w:r>
      <w:r w:rsidDel="00000000" w:rsidR="00000000" w:rsidRPr="00000000">
        <w:rPr>
          <w:rFonts w:ascii="Times New Roman" w:cs="Times New Roman" w:eastAsia="Times New Roman" w:hAnsi="Times New Roman"/>
          <w:i w:val="1"/>
          <w:sz w:val="24"/>
          <w:szCs w:val="24"/>
          <w:rtl w:val="0"/>
        </w:rPr>
        <w:t xml:space="preserve">o la </w:t>
      </w:r>
      <w:r w:rsidDel="00000000" w:rsidR="00000000" w:rsidRPr="00000000">
        <w:rPr>
          <w:rFonts w:ascii="Times New Roman" w:cs="Times New Roman" w:eastAsia="Times New Roman" w:hAnsi="Times New Roman"/>
          <w:sz w:val="24"/>
          <w:szCs w:val="24"/>
          <w:rtl w:val="0"/>
        </w:rPr>
        <w:t xml:space="preserve">suerte o a lo sobrenatural, o a </w:t>
      </w:r>
      <w:r w:rsidDel="00000000" w:rsidR="00000000" w:rsidRPr="00000000">
        <w:rPr>
          <w:rFonts w:ascii="Times New Roman" w:cs="Times New Roman" w:eastAsia="Times New Roman" w:hAnsi="Times New Roman"/>
          <w:i w:val="1"/>
          <w:sz w:val="24"/>
          <w:szCs w:val="24"/>
          <w:rtl w:val="0"/>
        </w:rPr>
        <w:t xml:space="preserve">partidos políticos, etnias,</w:t>
      </w:r>
      <w:r w:rsidDel="00000000" w:rsidR="00000000" w:rsidRPr="00000000">
        <w:rPr>
          <w:rFonts w:ascii="Times New Roman" w:cs="Times New Roman" w:eastAsia="Times New Roman" w:hAnsi="Times New Roman"/>
          <w:sz w:val="24"/>
          <w:szCs w:val="24"/>
          <w:rtl w:val="0"/>
        </w:rPr>
        <w:t xml:space="preserve"> atribuir a otro sujeto e inclusive a la fealdad o falta de inteligencia. La forma en que el sujeto se acomoda a esta situación se comprende con </w:t>
      </w:r>
      <w:r w:rsidDel="00000000" w:rsidR="00000000" w:rsidRPr="00000000">
        <w:rPr>
          <w:rFonts w:ascii="Times New Roman" w:cs="Times New Roman" w:eastAsia="Times New Roman" w:hAnsi="Times New Roman"/>
          <w:i w:val="1"/>
          <w:sz w:val="24"/>
          <w:szCs w:val="24"/>
          <w:rtl w:val="0"/>
        </w:rPr>
        <w:t xml:space="preserve">seguridad:</w:t>
      </w:r>
      <w:r w:rsidDel="00000000" w:rsidR="00000000" w:rsidRPr="00000000">
        <w:rPr>
          <w:rFonts w:ascii="Times New Roman" w:cs="Times New Roman" w:eastAsia="Times New Roman" w:hAnsi="Times New Roman"/>
          <w:sz w:val="24"/>
          <w:szCs w:val="24"/>
          <w:rtl w:val="0"/>
        </w:rPr>
        <w:t xml:space="preserve"> por dogma y repetición de lo dicho; </w:t>
      </w:r>
      <w:r w:rsidDel="00000000" w:rsidR="00000000" w:rsidRPr="00000000">
        <w:rPr>
          <w:rFonts w:ascii="Times New Roman" w:cs="Times New Roman" w:eastAsia="Times New Roman" w:hAnsi="Times New Roman"/>
          <w:i w:val="1"/>
          <w:sz w:val="24"/>
          <w:szCs w:val="24"/>
          <w:rtl w:val="0"/>
        </w:rPr>
        <w:t xml:space="preserve">falso sentido de pertenencia al Todo;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brinda atribuciones </w:t>
      </w:r>
      <w:r w:rsidDel="00000000" w:rsidR="00000000" w:rsidRPr="00000000">
        <w:rPr>
          <w:rFonts w:ascii="Times New Roman" w:cs="Times New Roman" w:eastAsia="Times New Roman" w:hAnsi="Times New Roman"/>
          <w:sz w:val="24"/>
          <w:szCs w:val="24"/>
          <w:rtl w:val="0"/>
        </w:rPr>
        <w:t xml:space="preserve">de los sucesos a causas</w:t>
      </w:r>
      <w:r w:rsidDel="00000000" w:rsidR="00000000" w:rsidRPr="00000000">
        <w:rPr>
          <w:rFonts w:ascii="Times New Roman" w:cs="Times New Roman" w:eastAsia="Times New Roman" w:hAnsi="Times New Roman"/>
          <w:i w:val="1"/>
          <w:sz w:val="24"/>
          <w:szCs w:val="24"/>
          <w:rtl w:val="0"/>
        </w:rPr>
        <w:t xml:space="preserve"> inespecíficas y erráticas</w:t>
      </w:r>
      <w:r w:rsidDel="00000000" w:rsidR="00000000" w:rsidRPr="00000000">
        <w:rPr>
          <w:rFonts w:ascii="Times New Roman" w:cs="Times New Roman" w:eastAsia="Times New Roman" w:hAnsi="Times New Roman"/>
          <w:sz w:val="24"/>
          <w:szCs w:val="24"/>
          <w:rtl w:val="0"/>
        </w:rPr>
        <w:t xml:space="preserve">, evadiendo su propia responsabilidad, todo  esto produce la negación del sujeto y garantizan su pasividad frente a  sus necesidades de apropiación legítimas. Logran a su vez crear el anhelo, y de esta forma los grupos que viven bajo este poder internalizan su espectro de necesidades según las fijadas por el grupo externo, al cual intentan homologar aunque tampoco lo logran y atribuyen ese no logro a su falta de “capacidad”.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control sobre sus necesidades de apropiación pasa a ser externo, aunque dentro del propio grupo se re produce en cada acción el poder de dominación, imitado de los grupos externos. (Christoph Wulf, 1993 pág.113).</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sistema educativo, con este tipo de poder dominante, en la institución educativa, promueve y orienta: </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5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opresión del educando, absolutiza la verdad (creencia ciega); </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5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una interacción socializadora caracterizada por la incomprensión, el mutismo, la sumisión,</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5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pérdida de la visión integral de la persona y con su medio ambiente o habitad,</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5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una pedagogía que no comparte la vida, por ello se da una carencia socializadora.</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58"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Adolece de comunicación, de interrelación entre maestr@-alumn@;  se niega el afecto y se cosifica a la persona.</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tipo de pedagogía niega la facultad del pensamiento del ser humano; consecuentemente la institución educativa, a través de los principios pedagógicos que las orientan, intenta formar seres humanos mansos que sienten opresión ante su propia  realidad de vida… sumisión (Christoph Wulf, 1993 pág.94)</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que cuando hablamos de Educación </w:t>
      </w:r>
      <w:r w:rsidDel="00000000" w:rsidR="00000000" w:rsidRPr="00000000">
        <w:rPr>
          <w:rFonts w:ascii="Times New Roman" w:cs="Times New Roman" w:eastAsia="Times New Roman" w:hAnsi="Times New Roman"/>
          <w:i w:val="1"/>
          <w:sz w:val="24"/>
          <w:szCs w:val="24"/>
          <w:rtl w:val="0"/>
        </w:rPr>
        <w:t xml:space="preserve">para el</w:t>
      </w:r>
      <w:r w:rsidDel="00000000" w:rsidR="00000000" w:rsidRPr="00000000">
        <w:rPr>
          <w:rFonts w:ascii="Times New Roman" w:cs="Times New Roman" w:eastAsia="Times New Roman" w:hAnsi="Times New Roman"/>
          <w:sz w:val="24"/>
          <w:szCs w:val="24"/>
          <w:rtl w:val="0"/>
        </w:rPr>
        <w:t xml:space="preserve"> Indígena se da desde una perspectiva europea, desde el inicio de la ocupación colonial. El deseo de “educar” al indígena aparece con el deseo de someter, pasó a ser, el elemento central en la ideología del poder dominante. El P. Meliá, en Educación Indígena y Alfabetización, (Florestán Fernández, citado por Melía: 2008 pág.46),  aborda los aspectos negativos que fueron inevitables en la actuación de los jesuitas que “operaban como auténticos agentes de colonización”  y que desempeñaron las funciones de agentes de asimilación de los indígenas a la civilización cristiana. La apreciación de Meliá, con respecto a la educación para el indígena, tanto por parte de los religiosos o de los nuevos laicos (funcionarios indigenistas y antropólogos) es, en teoría y en la práctica muy idéntica. La lógica que justificaba el poder religioso dominante bajo el objetivo de la misión era la evangelización (evangelización, entendida como plantar-imponer la religión), y por ello en esa mentalidad era tener “que civilizar a los indígenas para cristianizar y que para cristianizar se tenía que civilizar” (2008 pág.48). Pero una vez establecida las relaciones de dominio, las consecuencias son drásticas, se logra la negación del sujeto y su pasividad frente a sus necesidades de apropiación legítimas, esta actitud lograda trae grandes dificultades a la educación misionera. El educador, dice Meliá, constata que el indígena no aprende y que en el fondo de su ser es intocable. </w:t>
      </w:r>
    </w:p>
    <w:p w:rsidR="00000000" w:rsidDel="00000000" w:rsidP="00000000" w:rsidRDefault="00000000" w:rsidRPr="00000000" w14:paraId="00000041">
      <w:pPr>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era difícil ver que la escuela misionera exigía cambio de comportamiento violento en la vida del indígena. Aquellos hilos contrarios por ese nuevo  modo de vida se cerraban sobre sí mismos por días enteros, lo que era calificada de “hacerse el burro” o el ñembotavy</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encuentro entre misioneros/as indigenistas, realizado en Mariscal Estigarribia (Chaco) en 1974, se “discutió y analizó” sobre los fundamentos y tipos de educación escolar indígena que se pretendía, pero que al final reconocían “una educación ajena, desarraigada y hasta amenazante a las culturas indígenas, es decir, colonizadora!”  (cfr. GSEI 2014, pág.8)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correr del tiempo los fracasos y frustraciones cuestionan la práctica y teoría de la misión escuela. Ayudados por estudios antropológicos de misioneros y laicos, en un proceso de revisión, esta realidad educativa inicia nuevas propuestas. Silvio Coelho Dos Santos, citado por B.Meliá (2008 págs.52; 58),  a través de su experiencia de vida entre los indígenas del Brasil, afirma que la función de la escuela como:</w:t>
      </w:r>
    </w:p>
    <w:p w:rsidR="00000000" w:rsidDel="00000000" w:rsidP="00000000" w:rsidRDefault="00000000" w:rsidRPr="00000000" w14:paraId="00000044">
      <w:pPr>
        <w:ind w:left="56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“unidades escolares funcionan para el cumplimiento de una programación escolar exclusivamente teórica, confinada al ambiente interno del recinto escolar y a un calendario y horario burocráticamente fijados. Las vacaciones escolares son cumplidas rígidamente, a pesar de que la legislación permite su ubicación, coincidiendo con los periodos en que los alumnos son absorbidos por las actividades económicas más importantes, como cultivo y cosecha”. “Se da así una escuela desconectada de lo real. Al mismo tiempo la escolarización de indígenas en el Brasil, en los últimos 65 años ha sido un fracaso. Esta situación ha contribuido “para acentuar la marginalización de los pueblos tribales y agravar las acusaciones internacionales contra el Brasil en cuanto al exterminio cultural de los pueblos” (B.Meliá:2008 págs.52; 58)</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Meliá (2008 pág.54) apela a que “cada uno de los países del Cono Sur de América deberían  hacer una evaluación técnicamente sincera de la </w:t>
      </w:r>
      <w:r w:rsidDel="00000000" w:rsidR="00000000" w:rsidRPr="00000000">
        <w:rPr>
          <w:rFonts w:ascii="Times New Roman" w:cs="Times New Roman" w:eastAsia="Times New Roman" w:hAnsi="Times New Roman"/>
          <w:i w:val="1"/>
          <w:sz w:val="24"/>
          <w:szCs w:val="24"/>
          <w:rtl w:val="0"/>
        </w:rPr>
        <w:t xml:space="preserve">educación para el indígena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Paraguay, la nación mestiza, pero con una cultura política autoritaria, en  el último año de gobierno de Stroessner, se ve afectada por una serie de  protestas, en donde las comunidades indígenas reclamaban el derecho a su subsistencia semiautónoma en sus territorios ancestrales. </w:t>
      </w:r>
    </w:p>
    <w:p w:rsidR="00000000" w:rsidDel="00000000" w:rsidP="00000000" w:rsidRDefault="00000000" w:rsidRPr="00000000" w14:paraId="00000047">
      <w:pPr>
        <w:ind w:left="56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la resistencia indígena estaba de hecho insertándose más profundamente a los pueblos nativos dentro de la sociedad nacional para fines de los ochenta, el último año de Stroessner en el poder, no reflejó superficialmente dicha integración. Las comunidades indígenas  a lo largo y ancho del Paraguay se movilizaban como nunca antes en abierta oposición a la integración, la conservación de sus tierras y la retención de un cierto grado de autonomía económica” (R. Harder H. 2011pág. 282). </w:t>
      </w:r>
    </w:p>
    <w:p w:rsidR="00000000" w:rsidDel="00000000" w:rsidP="00000000" w:rsidRDefault="00000000" w:rsidRPr="00000000" w14:paraId="00000048">
      <w:pP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la Reforma Educativa Nacional, 1989, se planteó un sistema de educación indígena específico y de calidad.  Y en 1990 ante una consulta nacional convocada a un Congreso Nacional de Educación, los Pueblos Indígenas solicitaron participar de la consulta nacional organizándose a nivel étnico y no departamental. (GSEI 2014: pág.8)</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resistencia, es una de las fuentes de su identidad, pero, no es menos la lucha nativa librada para su inclusión en la Constitución Nacional de 1992 y las actuales luchas de los Pueblos Indígenas que siguen subsistiendo ante la incomprensión de gobiernos de turnos.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LA IMPORTANCIA DE LA INTERCULTURALIDAD</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Creemos oportuno, sin desmerecer, los esfuerzos y luchas de tantas personas que buscan instalar una visión más justa, hacia una etno-educación indígena, que aportaría las bases del desarrollo intercultural, superando así lo que nosotr@s l@s paraguay@s, l@s blanc@s y mestiz@s, aún lo llevamos muy dentro de nosotr@s, de </w:t>
      </w:r>
      <w:r w:rsidDel="00000000" w:rsidR="00000000" w:rsidRPr="00000000">
        <w:rPr>
          <w:rFonts w:ascii="Times New Roman" w:cs="Times New Roman" w:eastAsia="Times New Roman" w:hAnsi="Times New Roman"/>
          <w:i w:val="1"/>
          <w:sz w:val="24"/>
          <w:szCs w:val="24"/>
          <w:rtl w:val="0"/>
        </w:rPr>
        <w:t xml:space="preserve">conquistad@r y dominad@r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contexto de una etno-educación, revalorizar la cultura es reconocer al otro como </w:t>
      </w:r>
      <w:r w:rsidDel="00000000" w:rsidR="00000000" w:rsidRPr="00000000">
        <w:rPr>
          <w:rFonts w:ascii="Times New Roman" w:cs="Times New Roman" w:eastAsia="Times New Roman" w:hAnsi="Times New Roman"/>
          <w:i w:val="1"/>
          <w:sz w:val="24"/>
          <w:szCs w:val="24"/>
          <w:rtl w:val="0"/>
        </w:rPr>
        <w:t xml:space="preserve">otro</w:t>
      </w:r>
      <w:r w:rsidDel="00000000" w:rsidR="00000000" w:rsidRPr="00000000">
        <w:rPr>
          <w:rFonts w:ascii="Times New Roman" w:cs="Times New Roman" w:eastAsia="Times New Roman" w:hAnsi="Times New Roman"/>
          <w:sz w:val="24"/>
          <w:szCs w:val="24"/>
          <w:rtl w:val="0"/>
        </w:rPr>
        <w:t xml:space="preserve">, distinto a lo nuestro, sin desvalorizarlo o sobre valorarlo, es redescubrir e innovar la educación al servicio del ser humano en su contexto intercultural y socio-evolutivo de lo que es nuestra realidad como Nación Pluricultural y Multibilingüe Paraguaya.</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base del desarrollo intercultural, en una etno-educación debe ser el reconocimiento de la diferencia de las culturas, de la alteridad no asimilable del otro. Como afirma Christoph Wulf, (</w:t>
      </w:r>
      <w:r w:rsidDel="00000000" w:rsidR="00000000" w:rsidRPr="00000000">
        <w:rPr>
          <w:rFonts w:ascii="Times New Roman" w:cs="Times New Roman" w:eastAsia="Times New Roman" w:hAnsi="Times New Roman"/>
          <w:rtl w:val="0"/>
        </w:rPr>
        <w:t xml:space="preserve">1993 pág. 102</w:t>
      </w:r>
      <w:r w:rsidDel="00000000" w:rsidR="00000000" w:rsidRPr="00000000">
        <w:rPr>
          <w:rFonts w:ascii="Times New Roman" w:cs="Times New Roman" w:eastAsia="Times New Roman" w:hAnsi="Times New Roman"/>
          <w:sz w:val="24"/>
          <w:szCs w:val="24"/>
          <w:rtl w:val="0"/>
        </w:rPr>
        <w:t xml:space="preserve">) en su artículo, Conceptos Básicos del Aprendizaje Intercultural, vista la interculturalidad desde el disenso y la comunicación: </w:t>
      </w:r>
    </w:p>
    <w:p w:rsidR="00000000" w:rsidDel="00000000" w:rsidP="00000000" w:rsidRDefault="00000000" w:rsidRPr="00000000" w14:paraId="0000004F">
      <w:pPr>
        <w:ind w:left="851"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comunicación sólo puede ser si está basada en el disenso. El disenso es una condición de la posibilidad de comunicación. El consenso consiste en la aceptación del derecho a la contradicción. El aprendizaje intercultural sólo puede tener éxito si no está orientado hacia el consenso”.</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tipo de interculturalidad tiene como objetivo,  la afirmación de la exterioridad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otro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 incluye un poco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auto-superación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permite experimentar la externalidad del otro. Algunas reflexiones al respecto de una educación intercultural que nos brinda Christoph Wulf (1993 págs. 119-120), nos recuerda que el punto de partida de toda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formación intercultural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debe ser la pretensión de comprender al “otro”, sino el reconocimiento de que el otro no puede ser comprendido”. Desde esta óptica, nos replanteamos algunas perspectivas o podríamos decir paradigmas (en lenguaje de Kuhn), teniendo  que: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Comprender no es un camino para aceptar  al otro en su alteridad, sino un procedimiento para ejercer dominio y someter al otro.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importante para el aprendizaje intercultural, detenerse en la experiencia de la diferencia, así se garantiza la experiencia con la no-asimilacionabilidad del otro.</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experiencia de lo extraño, relativiza la validez de las normas propias, puede perturbar la identidad de los jóvenes. Las reacciones son diversas; se refugian en estereotipos para rechazar la irritación y superar la inseguridad.</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uso de estereotipos resulta de una  posición a la no disposición, cuyo carácter aparentemente universal ofrece seguridad, esto abarca sentimientos, ideas y juicios aparentemente apropiados al estereotipo.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formación intercultural debe procurar disolver los bloques que llevan al uso de los estereotipos.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la base del aprendizaje intercultural es el encuentro con el extraño y la confrontación con el otro, se trata de apoyar las fuerzas que ayudan a poder soportarlo. Una de las condiciones decisivas para lograrlo es la comprensión de que lo extraño no puede ser reducido a algo conocido.</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la formación intercultural debe  procurar el desarrollo del pensamiento y de la acción heterológica, que es capaz de soportar la alteridad del otro, para luego ir al encuentro respetuoso y abierto.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presupone, la interrelación entre la diversidad de culturas,  en donde se privilegia el análisis y la reflexión. Se asume el reconocimiento del pluralismo cultural, que significa, que “todas las culturas son diferentes entre sí e igualmente válidas dentro de su propio contexto. Es decir no hay culturas superiores ni inferiores” (MEN.: 1987:53 citado en: </w:t>
      </w:r>
      <w:r w:rsidDel="00000000" w:rsidR="00000000" w:rsidRPr="00000000">
        <w:rPr>
          <w:rFonts w:ascii="Times New Roman" w:cs="Times New Roman" w:eastAsia="Times New Roman" w:hAnsi="Times New Roman"/>
          <w:rtl w:val="0"/>
        </w:rPr>
        <w:t xml:space="preserve">Bodnar, Yolanda. 1992 pág. 21).</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resumen podríamos afirmar que esta forma de interculturalidad significa: </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Transformación de la distribución del poder y de las formas de control (transformación en los órdenes temporales y espaciales y de generación de otras formas de relación social, conocimiento, expresión en identidad cultural, individual y colectiva, de diferenciar y ser diferente en un contexto multicultural. Es conocer nuestros límites de respeto ante el otro, como otro diferente a nosotros. </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características, principios y estrategias de la etno-educación, presuponen un conjunto de transformaciones; procesos participativos; actitud crítica de las acciones educativas en el contexto étnico (familia, comunidad, etc), propicia condiciones de generación de prácticas sociales, productivas y comunicativas.</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contexto educativo, la participación, es entendida como la transformación de las relaciones escuela-maestro-comunidad, es entendido como un todo dinámico de vital interrelación y corresponsabilidad.</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etno-educación es monolingüe, bilingüe o multilingüe, ubicando la lengua materna, como elemento de identidad y estructuración del pensamiento, en el primer lugar de los procesos etno-educativos. </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etno-educación es intercultural. Debe partir del conocimiento, análisis, valoración y afirmación de la identidad étnica propia, y proyectarse hacia el abordaje de conocimientos y tecnologías producidos por otros grupos humanos, desde la perspectiva de articulación cultural comunitaria. </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etno-educación se ubica dentro de los esfuerzos de los grupos étnicos por definir y construir un proyecto de sociedad y de vida acorde con sus criterios y aspiraciones. </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etno-educación exige un replanteamiento de los fundamentos, los elementos y las funciones curriculares en su conjunto, a partir del pensamiento, cosmovisión y situación histórica de cada pueblo. </w:t>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LOS DESAFIOS DE UNA EDUCACIÓN EN LA COMUNIDAD INDÍGENA</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creemos que el rol de la Escuela en la Comunidad Indígena deberá contener características que respondan a su naturaleza propia en respuesta a la realización de los indígenas de dicha tribu, parcialidad o etnia. Por ello existen presupuestos  que se debe tener en cuenta en el diseño de una educación indígena desde esta etno-educación.</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Escuela, se inserta y se relaciona recíprocamente con la comunidad indígena. Se debe aclarar que la Escuela y la Comunidad Indígena  no son dos instituciones distintas y contradictorias, sino que  tienden a un mismo fin, el bienestar de la población en armonía con su medio. Mejoramiento de la calidad de vida en una interrelación armónica y respetuosa con toda vida existente.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realidad se constata que entre estas dos instituciones existe disociación, la comunidad indígena  y la escuela (entendida como educación nacional). Se debe a que los objetivos de ambas no son coincidentes, sino conflictivos, por provenir de culturas, ideologías, sistemas económicos, concepción del mundo muy opuestos.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concebimos una educación al servicio del ser humano y su cultura dominada, debemos establecer un diagnóstico de su situación y desde allí partir con la acción  educativa. El diagnóstico permite conocer la situación real de la comunidad en cuestión, como ser su situación histórica, el conocimiento de sus tradiciones, sus valores culturales, visión del mundo, las influencias foráneas, la espiritualidad, las ideologías, sus proyectos de comunidad, etc., temas todos ellos de interés fundamental, conociendo así el grado de apropiación o abandono de los mismos. A partir de un diagnóstico se puede replantear diferentes tipos de roles planteados por J. Alvarez Ticuña, (1993 págs.140-150), quién manifiesta lo fundamental de la interrelación entre Escuela y Comunidad y, a partir del mismo la construcción de los respectivos roles que sugiere. Se plantea los siguientes tipos de roles según J. Alvarez Ticuña (1993 págs.141-150), que se transcriben a continuación:</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El Rol de la Escuela en una Comunidad en Crisis.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 Reivindicativo:</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Rescatar la historicidad del pueblo desde su propia visión</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Reconocer los derechos ancestrales, nacionales e internacionales que protegen su existencia, de su pueblo y medio ambiente.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Descubrir que su propia visión del mundo y proyecto de desarrollo tiene validez para su pueblo.</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Devolver la capacidad de expresión, voz y espiritualidad a un pueblo en crisis.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Rol Investigativo:</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requiere  la ayuda de especialistas, como maestros, antropólogos, arqueólogos, lingüistas, historiadores, sociólogos, psicólogos, etc., todos en busca del currículo pertinente a las necesidades de la sociedad indígena.</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Rescatar el Patrimonio Cultural que aún se mantiene (artesanía, tecnologías, música, danza, etc.) y divulgarlo por sus propios cultores.</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Recopilar cuentos,  leyendas e historias locales para revalidar la narrativa oral, sea en la misma comunidad o en el aula (expresividad oral tradicional: escenificación; recursos didácticos: ética, historia …)</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Investigar respetuosamente la flora, fauna y demás recursos naturales vinculados a la ecología y cosmovisión indígena, ya que la educación actual peca de ignorante.</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Investigar la metodología, los recursos didácticos (propios del currículo oculto) para que junto a los contenidos nos aporten bases para la etnoeducación.</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Rol Valorativo:</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Escuela deberá actuar en tres frentes: individual, colectivo o social y ambiental.</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w:t>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Autoidentificación personal con la familia, comunidad y medio ambiente.</w:t>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Reconocerse en base a su propia experiencia en actividades cotidianas de la vida rural.</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Colectivo o social: </w:t>
      </w:r>
    </w:p>
    <w:p w:rsidR="00000000" w:rsidDel="00000000" w:rsidP="00000000" w:rsidRDefault="00000000" w:rsidRPr="00000000" w14:paraId="000000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Reconocerse como miembro de una comunidad específica, porque permite adquirir roles y funciones determinadas</w:t>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Identificarse afectiva y socialmente con las actividades de la comunidad</w:t>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Practicar y respetar los principios de ética comunitaria</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Ámbito Medio Ambiental:</w:t>
      </w:r>
    </w:p>
    <w:p w:rsidR="00000000" w:rsidDel="00000000" w:rsidP="00000000" w:rsidRDefault="00000000" w:rsidRPr="00000000" w14:paraId="000000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Valorar la sacralidad ecológica y religiosa del medio ambiente</w:t>
      </w:r>
    </w:p>
    <w:p w:rsidR="00000000" w:rsidDel="00000000" w:rsidP="00000000" w:rsidRDefault="00000000" w:rsidRPr="00000000" w14:paraId="0000008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Apreciar el orden natural del ecosistema, fomentando la reproducción  festiva de los recursos renovables y el uso cuidadoso de los recursos no renovables.</w:t>
      </w:r>
    </w:p>
    <w:p w:rsidR="00000000" w:rsidDel="00000000" w:rsidP="00000000" w:rsidRDefault="00000000" w:rsidRPr="00000000" w14:paraId="000000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Comprometerse a preservar y mejorar el medio natural.</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Rol Concientizador:</w:t>
      </w:r>
    </w:p>
    <w:p w:rsidR="00000000" w:rsidDel="00000000" w:rsidP="00000000" w:rsidRDefault="00000000" w:rsidRPr="00000000" w14:paraId="000000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Asumir la conciencia de ser protagonista de su propio destino. A la escuela le cabe  abandonar su papel alienante para hacerse su propio examen de conciencia. Es necesario:</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*Retomar las raíces y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69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*Recuperar la sabiduría y dignidad del pueblo.</w:t>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Prepararse para  defender y mejor el  patrimonio natural y cultural</w:t>
      </w:r>
    </w:p>
    <w:p w:rsidR="00000000" w:rsidDel="00000000" w:rsidP="00000000" w:rsidRDefault="00000000" w:rsidRPr="00000000" w14:paraId="000000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Organizarse para construir e ir tejiendo  un mejor destino</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 Rol Intercultural</w:t>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Conocer críticamente los elementos de la cultura occidental.</w:t>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Aprender el aprovechamiento de las energías naturales</w:t>
      </w:r>
    </w:p>
    <w:p w:rsidR="00000000" w:rsidDel="00000000" w:rsidP="00000000" w:rsidRDefault="00000000" w:rsidRPr="00000000" w14:paraId="000000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Estudiar las leyes que rigen con respecto a la sociedad local</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Incorporar y/o adaptar medios, recursos o herramientas que aporten en concreto al bienestar comunitario, sin dañar el sistema ecológico.</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 Rol Formativo:</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Si el niño, en los primeros años de estudio, aprende las normas básicas de moral, cuando joven puede ser responsable para asumir un cargo o función comunitaria. La escuela se alza como formadora de artesanos, artistas, líderes, tecnólogos en diversas disciplinas.</w:t>
      </w:r>
    </w:p>
    <w:p w:rsidR="00000000" w:rsidDel="00000000" w:rsidP="00000000" w:rsidRDefault="00000000" w:rsidRPr="00000000" w14:paraId="0000009B">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CONCLUSIÓN</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puesta en marcha de estos desafíos, desde una Educación Indígena, debería apreciarse en resultados evidentes, que signifiquen desde temprano un aporte  al desarrollo personal, de su integralidad como ser humano, como persona, a la familia y luego a la comunidad, teniendo así a simple vista una evaluación práctica del aprendizaje, hecha por la comunidad desde una etnoeducación.</w:t>
        <w:tab/>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Debemos confesar que, si bien esta propuesta de un enfoque de etnoeducación para los pueblos indígenas, se debería en primer lugar implementar en la educación paraguaya; Pero debido a nuestro sistema asimilacionista, creo oportuno que los pueblos indígenas nos enseñen a superar nuestra cosmovisión, desde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poder de dominación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tenemos aún muy arraigado en nuestra idiosincrasia de pueblo paraguayo.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basta con los enunciados de la Constitución Paraguaya en el reconocimiento de la educación para los indígenas, sino que reconoce la diversidad étnica y cultural de la nación, lo cual conlleva una implicación pedagógica que se concreta en la necesidad de una educación intercultural. Intercultural no solamente para los pueblos culturalmente diferenciados, sino también para la sociedad nacional paraguaya, que tiene el deber y el derecho de conocer, valorar y enriquecer nuestra cultura con los aportes de otras, en una dimensión de alteridad cultural a partir de un diálogo respetuoso de saberes y conocimientos que se articulen y complementen mutuamente.</w:t>
      </w:r>
    </w:p>
    <w:p w:rsidR="00000000" w:rsidDel="00000000" w:rsidP="00000000" w:rsidRDefault="00000000" w:rsidRPr="00000000" w14:paraId="000000A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humanidad tiene tendencia a no reconocer ni respetar los límites; siempre desea ampliar su conocimiento, ampliar sus horizontes, etc. Por eso busca e investiga. De ahí la importancia de reconocernos como tal, para afianzar nuestra identidad y evitar, en esta dimensión de exploradores, invadir o dejarnos invadir por otras cultural, sin mediar una reflexión crítica; de no ser así, se dará un avasallamiento e imposición de criterios y formas particulares de conocer y clasificar el mundo que nos rodea, considerándolo como la única forma válida. Aquí radica la trascendencia de la interculturalidad. </w:t>
      </w:r>
    </w:p>
    <w:p w:rsidR="00000000" w:rsidDel="00000000" w:rsidP="00000000" w:rsidRDefault="00000000" w:rsidRPr="00000000" w14:paraId="000000A5">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mismo tiempo un análisis serio de la lucha por su inclusión como iguales en la Constitución de 1992, contribuye a rectificar la errónea historia de interacción intercultural. Pero aún sigue pendiente la implementación del hermoso enunciado de la Constitución en el reconocimiento de los Pueblos Indígenas.</w:t>
      </w:r>
    </w:p>
    <w:p w:rsidR="00000000" w:rsidDel="00000000" w:rsidP="00000000" w:rsidRDefault="00000000" w:rsidRPr="00000000" w14:paraId="000000A6">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 Facultad de Humanidades, Ciencias Sociales y </w:t>
      </w:r>
      <w:r w:rsidDel="00000000" w:rsidR="00000000" w:rsidRPr="00000000">
        <w:rPr>
          <w:rFonts w:ascii="Times New Roman" w:cs="Times New Roman" w:eastAsia="Times New Roman" w:hAnsi="Times New Roman"/>
          <w:b w:val="1"/>
          <w:sz w:val="24"/>
          <w:szCs w:val="24"/>
          <w:rtl w:val="0"/>
        </w:rPr>
        <w:t xml:space="preserve">Cultura Guaraní</w:t>
      </w:r>
      <w:r w:rsidDel="00000000" w:rsidR="00000000" w:rsidRPr="00000000">
        <w:rPr>
          <w:rFonts w:ascii="Times New Roman" w:cs="Times New Roman" w:eastAsia="Times New Roman" w:hAnsi="Times New Roman"/>
          <w:sz w:val="24"/>
          <w:szCs w:val="24"/>
          <w:rtl w:val="0"/>
        </w:rPr>
        <w:t xml:space="preserve">, estamos llamados a realizar nuestro aporte y colaborar desde nuestro aporte a una Etno-educación en nuestro País y de este modo abrir espacios para que los Pueblos Indígenas puedan tener su propio desarrollo en una interrelación constructiva con los que habitamos esta Nación Paraguaya, y porque no, en esta Región del Territorio Guaraní, sobre todo teniendo en cuenta que son nuestros ancestros que nos brindan identidad cultural. Bartolomeu Meliá (1997) escribe al respecto: </w:t>
      </w:r>
    </w:p>
    <w:p w:rsidR="00000000" w:rsidDel="00000000" w:rsidP="00000000" w:rsidRDefault="00000000" w:rsidRPr="00000000" w14:paraId="000000A7">
      <w:pPr>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causa y origen del…”paraguayanismo”  están sin duda en los pueblos indígenas del Paraguay, que han logrado “reducir” a su propio sistema los juicios y hasta los prejuicios de sus observadores”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Borda; Jaime H., (1994) “Educación occidentalizada, identidad étnica y proyectos autónomos”. Revista El Aconstista. (Bogotá).Nro. 5, en:  </w:t>
      </w:r>
      <w:hyperlink r:id="rId9">
        <w:r w:rsidDel="00000000" w:rsidR="00000000" w:rsidRPr="00000000">
          <w:rPr>
            <w:color w:val="000080"/>
            <w:u w:val="single"/>
            <w:rtl w:val="0"/>
          </w:rPr>
          <w:t xml:space="preserve">http://www.onic.org.co/</w:t>
        </w:r>
      </w:hyperlink>
      <w:r w:rsidDel="00000000" w:rsidR="00000000" w:rsidRPr="00000000">
        <w:rPr>
          <w:rtl w:val="0"/>
        </w:rPr>
      </w:r>
    </w:p>
    <w:p w:rsidR="00000000" w:rsidDel="00000000" w:rsidP="00000000" w:rsidRDefault="00000000" w:rsidRPr="00000000" w14:paraId="000000AE">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Guerrero, Patricio. (</w:t>
      </w:r>
      <w:r w:rsidDel="00000000" w:rsidR="00000000" w:rsidRPr="00000000">
        <w:rPr>
          <w:rFonts w:ascii="Times New Roman" w:cs="Times New Roman" w:eastAsia="Times New Roman" w:hAnsi="Times New Roman"/>
          <w:color w:val="000000"/>
          <w:rtl w:val="0"/>
        </w:rPr>
        <w:t xml:space="preserve">2007) </w:t>
      </w:r>
      <w:r w:rsidDel="00000000" w:rsidR="00000000" w:rsidRPr="00000000">
        <w:rPr>
          <w:rFonts w:ascii="Times New Roman" w:cs="Times New Roman" w:eastAsia="Times New Roman" w:hAnsi="Times New Roman"/>
          <w:i w:val="1"/>
          <w:rtl w:val="0"/>
        </w:rPr>
        <w:t xml:space="preserve">Corazonar:</w:t>
      </w:r>
      <w:r w:rsidDel="00000000" w:rsidR="00000000" w:rsidRPr="00000000">
        <w:rPr>
          <w:rFonts w:ascii="Times New Roman" w:cs="Times New Roman" w:eastAsia="Times New Roman" w:hAnsi="Times New Roman"/>
          <w:i w:val="1"/>
          <w:color w:val="000000"/>
          <w:rtl w:val="0"/>
        </w:rPr>
        <w:t xml:space="preserve"> Una antropología comprometida con la vida. </w:t>
      </w:r>
      <w:r w:rsidDel="00000000" w:rsidR="00000000" w:rsidRPr="00000000">
        <w:rPr>
          <w:rFonts w:ascii="Times New Roman" w:cs="Times New Roman" w:eastAsia="Times New Roman" w:hAnsi="Times New Roman"/>
          <w:color w:val="000000"/>
          <w:rtl w:val="0"/>
        </w:rPr>
        <w:t xml:space="preserve">Fondec. Asunción. Paraguay. </w:t>
      </w:r>
    </w:p>
    <w:p w:rsidR="00000000" w:rsidDel="00000000" w:rsidP="00000000" w:rsidRDefault="00000000" w:rsidRPr="00000000" w14:paraId="000000AF">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Wulf, Christoph; (</w:t>
      </w:r>
      <w:r w:rsidDel="00000000" w:rsidR="00000000" w:rsidRPr="00000000">
        <w:rPr>
          <w:rFonts w:ascii="Times New Roman" w:cs="Times New Roman" w:eastAsia="Times New Roman" w:hAnsi="Times New Roman"/>
          <w:rtl w:val="0"/>
        </w:rPr>
        <w:t xml:space="preserve">1993). </w:t>
      </w:r>
      <w:r w:rsidDel="00000000" w:rsidR="00000000" w:rsidRPr="00000000">
        <w:rPr>
          <w:rFonts w:ascii="Times New Roman" w:cs="Times New Roman" w:eastAsia="Times New Roman" w:hAnsi="Times New Roman"/>
          <w:i w:val="1"/>
          <w:sz w:val="24"/>
          <w:szCs w:val="24"/>
          <w:rtl w:val="0"/>
        </w:rPr>
        <w:t xml:space="preserve">Conceptos Básicos del Aprendizaje</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rtl w:val="0"/>
        </w:rPr>
        <w:t xml:space="preserve">Kuper, Wolfgang. (Comp.) Pedagogía  Intercultural Bilingüe: Fundamentos de la Educación Bilingüe. Abya-Yala.  Quito.</w:t>
      </w:r>
    </w:p>
    <w:p w:rsidR="00000000" w:rsidDel="00000000" w:rsidP="00000000" w:rsidRDefault="00000000" w:rsidRPr="00000000" w14:paraId="000000B0">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Bodnar, Yolanda. (1992). La constitución y la etnoeducación: ¿Una paradoja?. En: Educación y cultura. N° 27. Estado, educación y grupos étnicos. p.p. 20-23, </w:t>
      </w:r>
      <w:r w:rsidDel="00000000" w:rsidR="00000000" w:rsidRPr="00000000">
        <w:rPr>
          <w:rtl w:val="0"/>
        </w:rPr>
        <w:t xml:space="preserve"> en </w:t>
      </w:r>
      <w:hyperlink r:id="rId10">
        <w:r w:rsidDel="00000000" w:rsidR="00000000" w:rsidRPr="00000000">
          <w:rPr>
            <w:rFonts w:ascii="Times New Roman" w:cs="Times New Roman" w:eastAsia="Times New Roman" w:hAnsi="Times New Roman"/>
            <w:sz w:val="24"/>
            <w:szCs w:val="24"/>
            <w:rtl w:val="0"/>
          </w:rPr>
          <w:t xml:space="preserve">http://www.campus-oei.org/revista</w:t>
        </w:r>
      </w:hyperlink>
      <w:r w:rsidDel="00000000" w:rsidR="00000000" w:rsidRPr="00000000">
        <w:rPr>
          <w:rtl w:val="0"/>
        </w:rPr>
      </w:r>
    </w:p>
    <w:p w:rsidR="00000000" w:rsidDel="00000000" w:rsidP="00000000" w:rsidRDefault="00000000" w:rsidRPr="00000000" w14:paraId="000000B1">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Constitución Paraguaya; (1992).Compilador: Miguel Angel Pangrazio Ciancio. Colección:</w:t>
      </w:r>
      <w:r w:rsidDel="00000000" w:rsidR="00000000" w:rsidRPr="00000000">
        <w:rPr>
          <w:rFonts w:ascii="Times New Roman" w:cs="Times New Roman" w:eastAsia="Times New Roman" w:hAnsi="Times New Roman"/>
          <w:rtl w:val="0"/>
        </w:rPr>
        <w:t xml:space="preserve"> Legislación Paraguaya Edición 2005.  Editora Intercontinental. Asunción. Paraguay</w:t>
      </w:r>
    </w:p>
    <w:p w:rsidR="00000000" w:rsidDel="00000000" w:rsidP="00000000" w:rsidRDefault="00000000" w:rsidRPr="00000000" w14:paraId="000000B2">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Conapi. Coordinación Nacional de Pastoral Indígena  (2009). Educación Indígena. AGR Servicios Gráficos: Asunción. Paraguay.</w:t>
      </w:r>
    </w:p>
    <w:p w:rsidR="00000000" w:rsidDel="00000000" w:rsidP="00000000" w:rsidRDefault="00000000" w:rsidRPr="00000000" w14:paraId="000000B3">
      <w:pPr>
        <w:rPr/>
      </w:pPr>
      <w:r w:rsidDel="00000000" w:rsidR="00000000" w:rsidRPr="00000000">
        <w:rPr>
          <w:rFonts w:ascii="Times New Roman" w:cs="Times New Roman" w:eastAsia="Times New Roman" w:hAnsi="Times New Roman"/>
          <w:rtl w:val="0"/>
        </w:rPr>
        <w:t xml:space="preserve">Circular I, Geofrontera, 2015</w:t>
      </w:r>
      <w:r w:rsidDel="00000000" w:rsidR="00000000" w:rsidRPr="00000000">
        <w:rPr>
          <w:rtl w:val="0"/>
        </w:rPr>
      </w:r>
    </w:p>
    <w:p w:rsidR="00000000" w:rsidDel="00000000" w:rsidP="00000000" w:rsidRDefault="00000000" w:rsidRPr="00000000" w14:paraId="000000B4">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Larrea Cabrera, Gustavo; (1990). </w:t>
      </w:r>
      <w:r w:rsidDel="00000000" w:rsidR="00000000" w:rsidRPr="00000000">
        <w:rPr>
          <w:rFonts w:ascii="Times New Roman" w:cs="Times New Roman" w:eastAsia="Times New Roman" w:hAnsi="Times New Roman"/>
          <w:i w:val="1"/>
          <w:rtl w:val="0"/>
        </w:rPr>
        <w:t xml:space="preserve">Hacia una Nueva Educación</w:t>
      </w:r>
      <w:r w:rsidDel="00000000" w:rsidR="00000000" w:rsidRPr="00000000">
        <w:rPr>
          <w:rFonts w:ascii="Times New Roman" w:cs="Times New Roman" w:eastAsia="Times New Roman" w:hAnsi="Times New Roman"/>
          <w:rtl w:val="0"/>
        </w:rPr>
        <w:t xml:space="preserve">.  En:  Kuper, Wolfgang.(1993)(Comp.). Pedagogía  Intercultural Bilingüe: Fundamentos de la Educación Bilingüe. Abya-Yala Quito. Ecuador.</w:t>
      </w:r>
    </w:p>
    <w:p w:rsidR="00000000" w:rsidDel="00000000" w:rsidP="00000000" w:rsidRDefault="00000000" w:rsidRPr="00000000" w14:paraId="000000B5">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Melia, Bartolomeu. (2008). </w:t>
      </w:r>
      <w:r w:rsidDel="00000000" w:rsidR="00000000" w:rsidRPr="00000000">
        <w:rPr>
          <w:rFonts w:ascii="Times New Roman" w:cs="Times New Roman" w:eastAsia="Times New Roman" w:hAnsi="Times New Roman"/>
          <w:i w:val="1"/>
          <w:rtl w:val="0"/>
        </w:rPr>
        <w:t xml:space="preserve">Educación Indígena y Alfabetización</w:t>
      </w:r>
      <w:r w:rsidDel="00000000" w:rsidR="00000000" w:rsidRPr="00000000">
        <w:rPr>
          <w:rFonts w:ascii="Times New Roman" w:cs="Times New Roman" w:eastAsia="Times New Roman" w:hAnsi="Times New Roman"/>
          <w:rtl w:val="0"/>
        </w:rPr>
        <w:t xml:space="preserve">. Asunción: Centro de Estudios Paraguayos “Antonio Guasch”.</w:t>
      </w:r>
    </w:p>
    <w:p w:rsidR="00000000" w:rsidDel="00000000" w:rsidP="00000000" w:rsidRDefault="00000000" w:rsidRPr="00000000" w14:paraId="000000B6">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Harder Horst, René D. (2011).; </w:t>
      </w:r>
      <w:r w:rsidDel="00000000" w:rsidR="00000000" w:rsidRPr="00000000">
        <w:rPr>
          <w:rFonts w:ascii="Times New Roman" w:cs="Times New Roman" w:eastAsia="Times New Roman" w:hAnsi="Times New Roman"/>
          <w:i w:val="1"/>
          <w:color w:val="000000"/>
          <w:rtl w:val="0"/>
        </w:rPr>
        <w:t xml:space="preserve">El Régimen de Stroessner y la Resistencia Indígena</w:t>
      </w:r>
      <w:r w:rsidDel="00000000" w:rsidR="00000000" w:rsidRPr="00000000">
        <w:rPr>
          <w:rFonts w:ascii="Times New Roman" w:cs="Times New Roman" w:eastAsia="Times New Roman" w:hAnsi="Times New Roman"/>
          <w:color w:val="000000"/>
          <w:rtl w:val="0"/>
        </w:rPr>
        <w:t xml:space="preserve">. Centro de Estudios Antropológicos de la Universidad Católica (CEADUC) Biblioteca de Estudios Paraguayos –Vol 89. Agosto. Asunción. ISBN 978-99953-76-40-6</w:t>
      </w:r>
      <w:r w:rsidDel="00000000" w:rsidR="00000000" w:rsidRPr="00000000">
        <w:rPr>
          <w:rtl w:val="0"/>
        </w:rPr>
      </w:r>
    </w:p>
    <w:p w:rsidR="00000000" w:rsidDel="00000000" w:rsidP="00000000" w:rsidRDefault="00000000" w:rsidRPr="00000000" w14:paraId="000000B7">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Muñoz, J</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rtl w:val="0"/>
        </w:rPr>
        <w:t xml:space="preserve"> (1993). </w:t>
      </w:r>
      <w:r w:rsidDel="00000000" w:rsidR="00000000" w:rsidRPr="00000000">
        <w:rPr>
          <w:rFonts w:ascii="Times New Roman" w:cs="Times New Roman" w:eastAsia="Times New Roman" w:hAnsi="Times New Roman"/>
          <w:i w:val="1"/>
          <w:sz w:val="24"/>
          <w:szCs w:val="24"/>
          <w:rtl w:val="0"/>
        </w:rPr>
        <w:t xml:space="preserve">Conceptualizaciones sobre la Cultura, las Relaciones de Poder y la Intercultualidad</w:t>
      </w:r>
      <w:r w:rsidDel="00000000" w:rsidR="00000000" w:rsidRPr="00000000">
        <w:rPr>
          <w:rFonts w:ascii="Times New Roman" w:cs="Times New Roman" w:eastAsia="Times New Roman" w:hAnsi="Times New Roman"/>
          <w:sz w:val="24"/>
          <w:szCs w:val="24"/>
          <w:rtl w:val="0"/>
        </w:rPr>
        <w:t xml:space="preserve">, citado en Conceptualizaciones sobre la Cultura; en: </w:t>
      </w:r>
      <w:r w:rsidDel="00000000" w:rsidR="00000000" w:rsidRPr="00000000">
        <w:rPr>
          <w:rFonts w:ascii="Times New Roman" w:cs="Times New Roman" w:eastAsia="Times New Roman" w:hAnsi="Times New Roman"/>
          <w:rtl w:val="0"/>
        </w:rPr>
        <w:t xml:space="preserve">Kuper, Wolfgang. (Comp.) (1993) Pedagogía  Intercultural Bilingüe: Fundamentos de la Educación Bilingüe. Abya-Yala. Quito. Ecuador.</w:t>
      </w:r>
    </w:p>
    <w:p w:rsidR="00000000" w:rsidDel="00000000" w:rsidP="00000000" w:rsidRDefault="00000000" w:rsidRPr="00000000" w14:paraId="000000B8">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Wulf, Christoph; (</w:t>
      </w:r>
      <w:r w:rsidDel="00000000" w:rsidR="00000000" w:rsidRPr="00000000">
        <w:rPr>
          <w:rFonts w:ascii="Times New Roman" w:cs="Times New Roman" w:eastAsia="Times New Roman" w:hAnsi="Times New Roman"/>
          <w:rtl w:val="0"/>
        </w:rPr>
        <w:t xml:space="preserve">1993). </w:t>
      </w:r>
      <w:r w:rsidDel="00000000" w:rsidR="00000000" w:rsidRPr="00000000">
        <w:rPr>
          <w:rFonts w:ascii="Times New Roman" w:cs="Times New Roman" w:eastAsia="Times New Roman" w:hAnsi="Times New Roman"/>
          <w:i w:val="1"/>
          <w:sz w:val="24"/>
          <w:szCs w:val="24"/>
          <w:rtl w:val="0"/>
        </w:rPr>
        <w:t xml:space="preserve">Conceptos Básicos del Aprendizaje</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rtl w:val="0"/>
        </w:rPr>
        <w:t xml:space="preserve">Kuper, Wolfgang.(Comp.) Pedagogía  Intercultural Bilingüe: Fundamentos de la Educación Intercultural Bilingüe. Abya-Yala.  Quito.</w:t>
      </w:r>
    </w:p>
    <w:p w:rsidR="00000000" w:rsidDel="00000000" w:rsidP="00000000" w:rsidRDefault="00000000" w:rsidRPr="00000000" w14:paraId="000000B9">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 (1987:53) citado en</w:t>
      </w:r>
      <w:r w:rsidDel="00000000" w:rsidR="00000000" w:rsidRPr="00000000">
        <w:rPr>
          <w:rFonts w:ascii="Times New Roman" w:cs="Times New Roman" w:eastAsia="Times New Roman" w:hAnsi="Times New Roman"/>
          <w:rtl w:val="0"/>
        </w:rPr>
        <w:t xml:space="preserve"> Bodnar, Yolanda. (1992). La constitución y la etnoeducación: ¿Una paradoja?. En: Educación y cultura. N° 27. Estado, educación y grupos étnicos. p.p. 20-23. E</w:t>
      </w:r>
      <w:r w:rsidDel="00000000" w:rsidR="00000000" w:rsidRPr="00000000">
        <w:rPr>
          <w:rtl w:val="0"/>
        </w:rPr>
        <w:t xml:space="preserve">n </w:t>
      </w:r>
      <w:hyperlink r:id="rId11">
        <w:r w:rsidDel="00000000" w:rsidR="00000000" w:rsidRPr="00000000">
          <w:rPr>
            <w:rFonts w:ascii="Times New Roman" w:cs="Times New Roman" w:eastAsia="Times New Roman" w:hAnsi="Times New Roman"/>
            <w:sz w:val="24"/>
            <w:szCs w:val="24"/>
            <w:rtl w:val="0"/>
          </w:rPr>
          <w:t xml:space="preserve">http://www.campus-oei.org/revista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Alvarez Ticuna, Juan; (1993).</w:t>
      </w:r>
      <w:r w:rsidDel="00000000" w:rsidR="00000000" w:rsidRPr="00000000">
        <w:rPr>
          <w:rFonts w:ascii="Times New Roman" w:cs="Times New Roman" w:eastAsia="Times New Roman" w:hAnsi="Times New Roman"/>
          <w:i w:val="1"/>
          <w:rtl w:val="0"/>
        </w:rPr>
        <w:t xml:space="preserve">El Rol de la Escuela en la Comunidad Indígena</w:t>
      </w:r>
      <w:r w:rsidDel="00000000" w:rsidR="00000000" w:rsidRPr="00000000">
        <w:rPr>
          <w:rFonts w:ascii="Times New Roman" w:cs="Times New Roman" w:eastAsia="Times New Roman" w:hAnsi="Times New Roman"/>
          <w:rtl w:val="0"/>
        </w:rPr>
        <w:t xml:space="preserve">. En: Kuper, Wolfgang.(Comp.) (1993) Pedagogía  Intercultural Bilingüe: Fundamentos de la Educación Bilingüe. Abya-Yala.  Quito. Ecuador.</w:t>
      </w:r>
      <w:r w:rsidDel="00000000" w:rsidR="00000000" w:rsidRPr="00000000">
        <w:rPr>
          <w:rtl w:val="0"/>
        </w:rPr>
      </w:r>
    </w:p>
    <w:p w:rsidR="00000000" w:rsidDel="00000000" w:rsidP="00000000" w:rsidRDefault="00000000" w:rsidRPr="00000000" w14:paraId="000000BB">
      <w:pPr>
        <w:spacing w:after="120" w:line="360" w:lineRule="auto"/>
        <w:jc w:val="center"/>
        <w:rPr>
          <w:rFonts w:ascii="Arial" w:cs="Arial" w:eastAsia="Arial" w:hAnsi="Arial"/>
          <w:b w:val="1"/>
        </w:rPr>
      </w:pPr>
      <w:r w:rsidDel="00000000" w:rsidR="00000000" w:rsidRPr="00000000">
        <w:rPr>
          <w:rtl w:val="0"/>
        </w:rPr>
      </w:r>
    </w:p>
    <w:sectPr>
      <w:headerReference r:id="rId12" w:type="default"/>
      <w:pgSz w:h="16838" w:w="11906"/>
      <w:pgMar w:bottom="1134" w:top="1701" w:left="1701" w:right="1416"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Cantata One"/>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presente ensayo fue publicado en su versión original en la Revista: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UNIHUMANITAS. Nº1, Año 1.Revista Académica y de Investigación. Facultad de Humanidades, Ciencias Sociales y Cultura Guaraní. Universidad Nacional de Itapúa. Encarnación. Paraguay.</w:t>
      </w:r>
      <w:r w:rsidDel="00000000" w:rsidR="00000000" w:rsidRPr="00000000">
        <w:rPr>
          <w:rtl w:val="0"/>
        </w:rPr>
      </w:r>
    </w:p>
  </w:footnote>
  <w:footnote w:id="1">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  un concepto utilizado por el autor del presente ensayo, priorizando la vida en el contexto cósmico. Es decir, el cosmos tiene sentido cuando existe vida. Por ello, al cosmos o universo se lo entiende desde la vida, que da sentido a todo cosmos. La vida del ser humano como parte del cosmos tiene el  compromiso de crear las condiciones  desde una conciencia responsable de ella, desde una perspectiva de interrelación y comunicación recíproca es fundamental en la vida cósmica. El “cosmos”, entendido como orden, maravilla, como  un sistema ordenado o armonioso. Según su  origen griego "κόσμος", que significa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orden u ornamentos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también cosmético y es lo opuesto al desorden, caos, desprolijo. Cosmos también  se utiliza como universo, por el orden que este posee. </w:t>
      </w:r>
    </w:p>
  </w:footnote>
  <w:footnote w:id="2">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 sabe que la etnología se interesa por las ideas y patrones de comportamientos relativos a las costumbres y estilos tecnológicos (técnicas artesanas), económicas (producción, intercambio, redistribución, comercio), sociales (parentesco, familia, matrimonio), político (poder, autoridad, educación, coerción), legales (tratados, herencias), e ideologías (cosmovisión, magia, religión, arte y música). Por ello se aplica la etnología desde la educación para incidir en los cambios socio-culturales de los Pueblos.</w:t>
      </w:r>
    </w:p>
  </w:footnote>
  <w:footnote w:id="3">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Voz Graraní, que significa hacerse del desentendido.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3751.0" w:type="dxa"/>
      <w:jc w:val="right"/>
      <w:tblLayout w:type="fixed"/>
      <w:tblLook w:val="0400"/>
    </w:tblPr>
    <w:tblGrid>
      <w:gridCol w:w="3076"/>
      <w:gridCol w:w="675"/>
      <w:tblGridChange w:id="0">
        <w:tblGrid>
          <w:gridCol w:w="3076"/>
          <w:gridCol w:w="675"/>
        </w:tblGrid>
      </w:tblGridChange>
    </w:tblGrid>
    <w:tr>
      <w:trPr>
        <w:trHeight w:val="420" w:hRule="atLeast"/>
      </w:trPr>
      <w:tc>
        <w:tcPr>
          <w:vAlign w:val="cente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200" w:before="0" w:line="276"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 Dr. Juan de la Cruz Brítez S.</w:t>
          </w:r>
        </w:p>
      </w:tc>
      <w:tc>
        <w:tcPr>
          <w:shd w:fill="c0504d" w:val="clear"/>
          <w:vAlign w:val="cente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200" w:before="0" w:line="276" w:lineRule="auto"/>
            <w:ind w:left="0" w:right="0" w:firstLine="0"/>
            <w:jc w:val="center"/>
            <w:rPr>
              <w:rFonts w:ascii="Times New Roman" w:cs="Times New Roman" w:eastAsia="Times New Roman" w:hAnsi="Times New Roman"/>
              <w:b w:val="1"/>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about:blank" TargetMode="External"/><Relationship Id="rId10" Type="http://schemas.openxmlformats.org/officeDocument/2006/relationships/hyperlink" Target="about:blank" TargetMode="External"/><Relationship Id="rId12" Type="http://schemas.openxmlformats.org/officeDocument/2006/relationships/header" Target="header1.xml"/><Relationship Id="rId9" Type="http://schemas.openxmlformats.org/officeDocument/2006/relationships/hyperlink" Target="http://www.onic.org.c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jbsilv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